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Lines="50"/>
        <w:jc w:val="center"/>
        <w:rPr>
          <w:b/>
          <w:bCs/>
          <w:color w:val="000000"/>
          <w:sz w:val="24"/>
        </w:rPr>
      </w:pPr>
      <w:bookmarkStart w:id="0" w:name="_Toc452478179"/>
      <w:r>
        <w:rPr>
          <w:rFonts w:hAnsi="宋体"/>
          <w:b/>
          <w:bCs/>
          <w:color w:val="000000"/>
          <w:sz w:val="24"/>
        </w:rPr>
        <w:t>泰康在线财产保险股份有限公司</w:t>
      </w:r>
    </w:p>
    <w:p>
      <w:pPr>
        <w:widowControl/>
        <w:adjustRightInd w:val="0"/>
        <w:snapToGrid w:val="0"/>
        <w:spacing w:afterLines="50"/>
        <w:jc w:val="center"/>
        <w:rPr>
          <w:b/>
          <w:bCs/>
          <w:color w:val="000000"/>
          <w:sz w:val="24"/>
        </w:rPr>
      </w:pPr>
      <w:bookmarkStart w:id="1" w:name="_GoBack"/>
      <w:r>
        <w:rPr>
          <w:rFonts w:hAnsi="宋体"/>
          <w:b/>
          <w:bCs/>
          <w:color w:val="000000"/>
          <w:sz w:val="24"/>
        </w:rPr>
        <w:t>环球旅行意外伤害保险条款</w:t>
      </w:r>
      <w:bookmarkEnd w:id="0"/>
    </w:p>
    <w:bookmarkEnd w:id="1"/>
    <w:p>
      <w:pPr>
        <w:adjustRightInd w:val="0"/>
        <w:snapToGrid w:val="0"/>
        <w:spacing w:afterLines="50"/>
        <w:jc w:val="center"/>
        <w:rPr>
          <w:b/>
          <w:szCs w:val="21"/>
        </w:rPr>
      </w:pPr>
    </w:p>
    <w:p>
      <w:pPr>
        <w:adjustRightInd w:val="0"/>
        <w:snapToGrid w:val="0"/>
        <w:spacing w:afterLines="50"/>
        <w:jc w:val="center"/>
        <w:rPr>
          <w:b/>
          <w:szCs w:val="21"/>
        </w:rPr>
      </w:pPr>
      <w:r>
        <w:rPr>
          <w:rFonts w:hAnsi="宋体"/>
          <w:b/>
          <w:szCs w:val="21"/>
        </w:rPr>
        <w:t>总则</w:t>
      </w:r>
    </w:p>
    <w:p>
      <w:pPr>
        <w:pStyle w:val="26"/>
        <w:numPr>
          <w:ilvl w:val="0"/>
          <w:numId w:val="2"/>
        </w:numPr>
        <w:adjustRightInd w:val="0"/>
        <w:snapToGrid w:val="0"/>
        <w:spacing w:afterLines="50"/>
        <w:ind w:left="0" w:firstLine="426" w:firstLineChars="0"/>
        <w:rPr>
          <w:szCs w:val="21"/>
        </w:rPr>
      </w:pPr>
      <w:r>
        <w:rPr>
          <w:rFonts w:hAnsi="宋体"/>
          <w:szCs w:val="21"/>
        </w:rPr>
        <w:t>本保险合同由保险条款、保险单或其他保险凭证、投保书、与本保险合同有关的投保文件、</w:t>
      </w:r>
      <w:r>
        <w:rPr>
          <w:rFonts w:hAnsi="宋体"/>
          <w:b/>
          <w:szCs w:val="21"/>
        </w:rPr>
        <w:t>合法有效</w:t>
      </w:r>
      <w:r>
        <w:rPr>
          <w:rFonts w:hAnsi="宋体"/>
          <w:szCs w:val="21"/>
        </w:rPr>
        <w:t>的声明、批注、批单、及其他投保人与</w:t>
      </w:r>
      <w:r>
        <w:rPr>
          <w:rFonts w:hAnsi="宋体"/>
          <w:b/>
          <w:szCs w:val="21"/>
        </w:rPr>
        <w:t>保险人</w:t>
      </w:r>
      <w:r>
        <w:rPr>
          <w:rFonts w:hAnsi="宋体"/>
          <w:szCs w:val="21"/>
        </w:rPr>
        <w:t>共同认可的书面或者电子协议组成。</w:t>
      </w:r>
      <w:r>
        <w:rPr>
          <w:szCs w:val="21"/>
        </w:rPr>
        <w:t>凡涉及本保险合同的约定，均应采用书面或电子形式。</w:t>
      </w:r>
    </w:p>
    <w:p>
      <w:pPr>
        <w:pStyle w:val="20"/>
        <w:numPr>
          <w:ilvl w:val="0"/>
          <w:numId w:val="2"/>
        </w:numPr>
        <w:snapToGrid w:val="0"/>
        <w:spacing w:afterLines="50"/>
        <w:ind w:left="0" w:firstLine="426"/>
        <w:rPr>
          <w:rFonts w:ascii="Times New Roman" w:hAnsi="宋体" w:cs="Times New Roman"/>
        </w:rPr>
      </w:pPr>
      <w:r>
        <w:rPr>
          <w:rFonts w:ascii="Times New Roman" w:hAnsi="宋体" w:cs="Times New Roman"/>
        </w:rPr>
        <w:t>本保险合同的被保险人应为身体健康、能正常工作或正常生活的自然人。</w:t>
      </w:r>
    </w:p>
    <w:p>
      <w:pPr>
        <w:pStyle w:val="18"/>
        <w:numPr>
          <w:ilvl w:val="0"/>
          <w:numId w:val="2"/>
        </w:numPr>
        <w:spacing w:afterLines="50"/>
        <w:ind w:left="0" w:firstLine="426"/>
        <w:rPr>
          <w:szCs w:val="21"/>
        </w:rPr>
      </w:pPr>
      <w:r>
        <w:rPr>
          <w:rFonts w:hAnsi="宋体"/>
          <w:b w:val="0"/>
          <w:szCs w:val="21"/>
        </w:rPr>
        <w:t>本保险合同的投保人应为具有完全民事行为能力的被保险人本人或在本保险合同订立时对被保险人有保险利益的其他人。</w:t>
      </w:r>
    </w:p>
    <w:p>
      <w:pPr>
        <w:pStyle w:val="18"/>
        <w:numPr>
          <w:ilvl w:val="0"/>
          <w:numId w:val="2"/>
        </w:numPr>
        <w:spacing w:afterLines="50"/>
        <w:ind w:left="0" w:firstLine="426"/>
        <w:rPr>
          <w:szCs w:val="21"/>
        </w:rPr>
      </w:pPr>
      <w:r>
        <w:rPr>
          <w:rFonts w:hAnsi="宋体"/>
          <w:b w:val="0"/>
          <w:szCs w:val="21"/>
        </w:rPr>
        <w:t>本保险合同的受益人包括：</w:t>
      </w:r>
    </w:p>
    <w:p>
      <w:pPr>
        <w:pStyle w:val="18"/>
        <w:spacing w:afterLines="50"/>
        <w:ind w:firstLine="310" w:firstLineChars="148"/>
        <w:outlineLvl w:val="0"/>
        <w:rPr>
          <w:b w:val="0"/>
          <w:szCs w:val="21"/>
        </w:rPr>
      </w:pPr>
      <w:r>
        <w:rPr>
          <w:rFonts w:hAnsi="宋体"/>
          <w:b w:val="0"/>
          <w:szCs w:val="21"/>
        </w:rPr>
        <w:t>（一）意外身故保险金受益人</w:t>
      </w:r>
    </w:p>
    <w:p>
      <w:pPr>
        <w:pStyle w:val="19"/>
        <w:spacing w:afterLines="50"/>
        <w:ind w:left="0" w:leftChars="0"/>
        <w:rPr>
          <w:rStyle w:val="15"/>
          <w:b/>
          <w:szCs w:val="21"/>
        </w:rPr>
      </w:pPr>
      <w:r>
        <w:rPr>
          <w:rFonts w:hAnsi="宋体"/>
          <w:szCs w:val="21"/>
        </w:rPr>
        <w:t>订立本保险合同时，被保险人或投保人可指定一人或数人为身故保险金受益人。身故保险金受益人为数人时，应确定其受益顺序和受益份额；未确定受益份额的，各身故保险金受益人按照相等份额享有受益权。</w:t>
      </w:r>
    </w:p>
    <w:p>
      <w:pPr>
        <w:pStyle w:val="19"/>
        <w:spacing w:afterLines="50"/>
        <w:ind w:left="0" w:leftChars="0"/>
        <w:rPr>
          <w:szCs w:val="21"/>
        </w:rPr>
      </w:pPr>
      <w:r>
        <w:rPr>
          <w:rFonts w:hAnsi="宋体"/>
          <w:szCs w:val="21"/>
        </w:rPr>
        <w:t>被保险人死亡后，有下列情形之一的，保险金作为被保险人的遗产，由保险人依照《中华人民共和国继承法》的规定履行给付保险金的义务：</w:t>
      </w:r>
    </w:p>
    <w:p>
      <w:pPr>
        <w:pStyle w:val="19"/>
        <w:spacing w:afterLines="50"/>
        <w:ind w:left="0" w:leftChars="0"/>
        <w:rPr>
          <w:szCs w:val="21"/>
        </w:rPr>
      </w:pPr>
      <w:r>
        <w:rPr>
          <w:rFonts w:hint="eastAsia"/>
          <w:szCs w:val="21"/>
        </w:rPr>
        <w:t>（</w:t>
      </w:r>
      <w:r>
        <w:rPr>
          <w:szCs w:val="21"/>
        </w:rPr>
        <w:t>1</w:t>
      </w:r>
      <w:r>
        <w:rPr>
          <w:rFonts w:hint="eastAsia" w:hAnsi="宋体"/>
          <w:szCs w:val="21"/>
        </w:rPr>
        <w:t>）</w:t>
      </w:r>
      <w:r>
        <w:rPr>
          <w:rFonts w:hAnsi="宋体"/>
          <w:szCs w:val="21"/>
        </w:rPr>
        <w:t>没有指定意外身故保险金受益人，或者意外身故保险金受益人指定不明无法确定的；</w:t>
      </w:r>
    </w:p>
    <w:p>
      <w:pPr>
        <w:pStyle w:val="19"/>
        <w:spacing w:afterLines="50"/>
        <w:ind w:left="0" w:leftChars="0"/>
        <w:rPr>
          <w:szCs w:val="21"/>
        </w:rPr>
      </w:pPr>
      <w:r>
        <w:rPr>
          <w:rFonts w:hint="eastAsia"/>
          <w:szCs w:val="21"/>
        </w:rPr>
        <w:t>（</w:t>
      </w:r>
      <w:r>
        <w:rPr>
          <w:szCs w:val="21"/>
        </w:rPr>
        <w:t>2</w:t>
      </w:r>
      <w:r>
        <w:rPr>
          <w:rFonts w:hint="eastAsia" w:hAnsi="宋体"/>
          <w:szCs w:val="21"/>
        </w:rPr>
        <w:t>）</w:t>
      </w:r>
      <w:r>
        <w:rPr>
          <w:rFonts w:hAnsi="宋体"/>
          <w:szCs w:val="21"/>
        </w:rPr>
        <w:t>意外身故保险金受益人先于被保险人死亡，没有其他意外身故保险金受益人的；</w:t>
      </w:r>
    </w:p>
    <w:p>
      <w:pPr>
        <w:pStyle w:val="19"/>
        <w:spacing w:afterLines="50"/>
        <w:ind w:left="0" w:leftChars="0"/>
        <w:rPr>
          <w:szCs w:val="21"/>
        </w:rPr>
      </w:pPr>
      <w:r>
        <w:rPr>
          <w:rFonts w:hint="eastAsia"/>
          <w:szCs w:val="21"/>
        </w:rPr>
        <w:t>（</w:t>
      </w:r>
      <w:r>
        <w:rPr>
          <w:szCs w:val="21"/>
        </w:rPr>
        <w:t>3</w:t>
      </w:r>
      <w:r>
        <w:rPr>
          <w:rFonts w:hint="eastAsia" w:hAnsi="宋体"/>
          <w:szCs w:val="21"/>
        </w:rPr>
        <w:t>）</w:t>
      </w:r>
      <w:r>
        <w:rPr>
          <w:rFonts w:hAnsi="宋体"/>
          <w:szCs w:val="21"/>
        </w:rPr>
        <w:t>意外身故保险金受益人依法丧失受益权或者放弃受益权，没有其他意外身故保险金受益人的。</w:t>
      </w:r>
    </w:p>
    <w:p>
      <w:pPr>
        <w:pStyle w:val="19"/>
        <w:spacing w:afterLines="50"/>
        <w:ind w:left="0" w:leftChars="0"/>
        <w:rPr>
          <w:rStyle w:val="15"/>
          <w:b/>
          <w:szCs w:val="21"/>
        </w:rPr>
      </w:pPr>
      <w:r>
        <w:rPr>
          <w:rFonts w:hAnsi="宋体"/>
          <w:szCs w:val="21"/>
        </w:rPr>
        <w:t>意外身故保险金受益人与被保险人在同一事件中死亡，且不能确定死亡先后顺序的，推定意外身故保险金受益人死亡在先。</w:t>
      </w:r>
    </w:p>
    <w:p>
      <w:pPr>
        <w:pStyle w:val="19"/>
        <w:spacing w:afterLines="50"/>
        <w:ind w:left="0" w:leftChars="0"/>
        <w:rPr>
          <w:b/>
          <w:szCs w:val="21"/>
        </w:rPr>
      </w:pPr>
      <w:r>
        <w:rPr>
          <w:rFonts w:hAnsi="宋体"/>
          <w:szCs w:val="21"/>
        </w:rPr>
        <w:t>被保险人或投保人可以变更意外身故保险金受益人，但需书面通知保险人，由保险人在本保险合同上批注。</w:t>
      </w:r>
      <w:r>
        <w:rPr>
          <w:rFonts w:hAnsi="宋体"/>
          <w:b/>
          <w:szCs w:val="21"/>
        </w:rPr>
        <w:t>对因意外身故保险金受益人变更发生的法律纠纷，保险人不承担任何责任。</w:t>
      </w:r>
    </w:p>
    <w:p>
      <w:pPr>
        <w:pStyle w:val="19"/>
        <w:spacing w:afterLines="50"/>
        <w:ind w:left="0" w:leftChars="0"/>
        <w:rPr>
          <w:szCs w:val="21"/>
        </w:rPr>
      </w:pPr>
      <w:r>
        <w:rPr>
          <w:rFonts w:hAnsiTheme="minorEastAsia" w:eastAsiaTheme="minorEastAsia"/>
          <w:color w:val="222222"/>
          <w:szCs w:val="21"/>
        </w:rPr>
        <w:t>除未成年人的父母外，投保人不得为无民事行为能力人投保本保险。</w:t>
      </w:r>
      <w:r>
        <w:rPr>
          <w:rFonts w:hAnsiTheme="minorEastAsia" w:eastAsiaTheme="minorEastAsia"/>
          <w:b/>
          <w:color w:val="222222"/>
          <w:szCs w:val="21"/>
        </w:rPr>
        <w:t>父母为其未成年子女投保本保险的，因被保险人死亡给付的意外身故保险金总和不得超过国务院保险监督管理机构规定的限额，意外身故保险金总和的约定也不得超过前述限额。</w:t>
      </w:r>
    </w:p>
    <w:p>
      <w:pPr>
        <w:pStyle w:val="19"/>
        <w:spacing w:afterLines="50"/>
        <w:ind w:left="0" w:leftChars="0"/>
        <w:rPr>
          <w:szCs w:val="21"/>
        </w:rPr>
      </w:pPr>
      <w:r>
        <w:rPr>
          <w:rFonts w:hAnsi="宋体"/>
          <w:szCs w:val="21"/>
        </w:rPr>
        <w:t>投保人指定或变更</w:t>
      </w:r>
      <w:r>
        <w:rPr>
          <w:rFonts w:hAnsiTheme="minorEastAsia" w:eastAsiaTheme="minorEastAsia"/>
          <w:color w:val="222222"/>
          <w:szCs w:val="21"/>
        </w:rPr>
        <w:t>意外</w:t>
      </w:r>
      <w:r>
        <w:rPr>
          <w:rFonts w:hAnsi="宋体"/>
          <w:szCs w:val="21"/>
        </w:rPr>
        <w:t>身故保险金受益人的，应经被保险人书面同意。被保险人为无民事行为能力人或限制民事行为能力人的，应由其监护人指定或变更意外身故保险金受益人。</w:t>
      </w:r>
    </w:p>
    <w:p>
      <w:pPr>
        <w:pStyle w:val="18"/>
        <w:tabs>
          <w:tab w:val="left" w:pos="426"/>
          <w:tab w:val="left" w:pos="851"/>
          <w:tab w:val="clear" w:pos="840"/>
        </w:tabs>
        <w:spacing w:afterLines="50"/>
        <w:ind w:firstLine="310" w:firstLineChars="148"/>
        <w:outlineLvl w:val="0"/>
        <w:rPr>
          <w:b w:val="0"/>
          <w:szCs w:val="21"/>
        </w:rPr>
      </w:pPr>
      <w:r>
        <w:rPr>
          <w:rFonts w:hAnsi="宋体"/>
          <w:b w:val="0"/>
          <w:szCs w:val="21"/>
        </w:rPr>
        <w:t>（二）意外伤残保险金受益人</w:t>
      </w:r>
    </w:p>
    <w:p>
      <w:pPr>
        <w:pStyle w:val="19"/>
        <w:spacing w:afterLines="50"/>
        <w:ind w:left="0" w:leftChars="0"/>
        <w:rPr>
          <w:szCs w:val="21"/>
        </w:rPr>
      </w:pPr>
      <w:r>
        <w:rPr>
          <w:rFonts w:hAnsi="宋体"/>
          <w:szCs w:val="21"/>
        </w:rPr>
        <w:t>除另有约定外，本保险合同的意外伤残保险金的受益人为被保险人本人。</w:t>
      </w:r>
    </w:p>
    <w:p>
      <w:pPr>
        <w:adjustRightInd w:val="0"/>
        <w:snapToGrid w:val="0"/>
        <w:spacing w:afterLines="50"/>
        <w:ind w:firstLine="426"/>
        <w:jc w:val="center"/>
        <w:rPr>
          <w:b/>
          <w:szCs w:val="21"/>
        </w:rPr>
      </w:pPr>
    </w:p>
    <w:p>
      <w:pPr>
        <w:adjustRightInd w:val="0"/>
        <w:snapToGrid w:val="0"/>
        <w:spacing w:afterLines="50"/>
        <w:ind w:firstLine="426"/>
        <w:jc w:val="center"/>
        <w:rPr>
          <w:szCs w:val="21"/>
        </w:rPr>
      </w:pPr>
      <w:r>
        <w:rPr>
          <w:rFonts w:hAnsi="宋体"/>
          <w:b/>
          <w:szCs w:val="21"/>
        </w:rPr>
        <w:t>保险责任</w:t>
      </w:r>
    </w:p>
    <w:p>
      <w:pPr>
        <w:pStyle w:val="18"/>
        <w:numPr>
          <w:ilvl w:val="0"/>
          <w:numId w:val="2"/>
        </w:numPr>
        <w:spacing w:afterLines="50"/>
        <w:ind w:left="0" w:firstLine="426"/>
        <w:rPr>
          <w:szCs w:val="21"/>
        </w:rPr>
      </w:pPr>
      <w:r>
        <w:rPr>
          <w:rFonts w:hAnsi="宋体"/>
          <w:b w:val="0"/>
          <w:szCs w:val="21"/>
        </w:rPr>
        <w:t>在保险期间内，被保险人在</w:t>
      </w:r>
      <w:r>
        <w:rPr>
          <w:rFonts w:hAnsi="宋体"/>
          <w:szCs w:val="21"/>
        </w:rPr>
        <w:t>旅行</w:t>
      </w:r>
      <w:r>
        <w:rPr>
          <w:rFonts w:hAnsi="宋体"/>
          <w:b w:val="0"/>
          <w:szCs w:val="21"/>
        </w:rPr>
        <w:t>期间</w:t>
      </w:r>
      <w:r>
        <w:rPr>
          <w:rFonts w:hAnsiTheme="minorEastAsia" w:eastAsiaTheme="minorEastAsia"/>
          <w:b w:val="0"/>
        </w:rPr>
        <w:t>发生下列保险事故的</w:t>
      </w:r>
      <w:r>
        <w:rPr>
          <w:rFonts w:hAnsi="宋体"/>
          <w:b w:val="0"/>
          <w:szCs w:val="21"/>
        </w:rPr>
        <w:t>，保险人依照下列约定承担保险责任</w:t>
      </w:r>
      <w:r>
        <w:rPr>
          <w:rFonts w:hint="eastAsia" w:hAnsi="宋体"/>
          <w:b w:val="0"/>
          <w:szCs w:val="21"/>
        </w:rPr>
        <w:t>：</w:t>
      </w:r>
    </w:p>
    <w:p>
      <w:pPr>
        <w:pStyle w:val="18"/>
        <w:spacing w:afterLines="50"/>
        <w:ind w:firstLine="424" w:firstLineChars="201"/>
        <w:outlineLvl w:val="0"/>
        <w:rPr>
          <w:szCs w:val="21"/>
          <w:u w:val="single"/>
        </w:rPr>
      </w:pPr>
      <w:r>
        <w:rPr>
          <w:rFonts w:hAnsi="宋体"/>
          <w:szCs w:val="21"/>
        </w:rPr>
        <w:t>（一）意外身故保险责任</w:t>
      </w:r>
    </w:p>
    <w:p>
      <w:pPr>
        <w:pStyle w:val="18"/>
        <w:spacing w:afterLines="50"/>
        <w:ind w:firstLine="422" w:firstLineChars="201"/>
        <w:rPr>
          <w:b w:val="0"/>
          <w:szCs w:val="21"/>
        </w:rPr>
      </w:pPr>
      <w:r>
        <w:rPr>
          <w:rFonts w:hAnsi="宋体"/>
          <w:b w:val="0"/>
          <w:szCs w:val="21"/>
        </w:rPr>
        <w:t>在保险期间内，被保险人在旅行期间遭受</w:t>
      </w:r>
      <w:r>
        <w:rPr>
          <w:rFonts w:hAnsi="宋体"/>
          <w:szCs w:val="21"/>
        </w:rPr>
        <w:t>意外伤害</w:t>
      </w:r>
      <w:r>
        <w:rPr>
          <w:rFonts w:hAnsi="宋体"/>
          <w:b w:val="0"/>
          <w:szCs w:val="21"/>
        </w:rPr>
        <w:t>事故，</w:t>
      </w:r>
      <w:r>
        <w:rPr>
          <w:rFonts w:hAnsi="宋体"/>
          <w:szCs w:val="21"/>
        </w:rPr>
        <w:t>且自该事故发生之日起一百八十日内</w:t>
      </w:r>
      <w:r>
        <w:rPr>
          <w:rFonts w:hAnsiTheme="minorEastAsia" w:eastAsiaTheme="minorEastAsia"/>
          <w:color w:val="222222"/>
          <w:szCs w:val="21"/>
        </w:rPr>
        <w:t>（含第一百八十日）</w:t>
      </w:r>
      <w:r>
        <w:rPr>
          <w:rFonts w:hAnsi="宋体"/>
          <w:szCs w:val="21"/>
        </w:rPr>
        <w:t>，因该事故为直接且单独原因导致被保险人身故的，</w:t>
      </w:r>
      <w:r>
        <w:rPr>
          <w:rFonts w:hAnsi="宋体"/>
          <w:b w:val="0"/>
          <w:szCs w:val="21"/>
        </w:rPr>
        <w:t>保险人按照保险单载明的保险金额向</w:t>
      </w:r>
      <w:r>
        <w:rPr>
          <w:rFonts w:hAnsiTheme="minorEastAsia" w:eastAsiaTheme="minorEastAsia"/>
          <w:b w:val="0"/>
          <w:color w:val="222222"/>
          <w:szCs w:val="21"/>
        </w:rPr>
        <w:t>意外身故保险金受益人</w:t>
      </w:r>
      <w:r>
        <w:rPr>
          <w:rFonts w:hAnsi="宋体"/>
          <w:b w:val="0"/>
          <w:szCs w:val="21"/>
        </w:rPr>
        <w:t>给付意外身故保险金，本保险合同终止。</w:t>
      </w:r>
    </w:p>
    <w:p>
      <w:pPr>
        <w:pStyle w:val="18"/>
        <w:spacing w:afterLines="50"/>
        <w:ind w:firstLine="422" w:firstLineChars="201"/>
        <w:rPr>
          <w:b w:val="0"/>
          <w:szCs w:val="21"/>
        </w:rPr>
      </w:pPr>
      <w:r>
        <w:rPr>
          <w:rFonts w:hAnsi="宋体"/>
          <w:b w:val="0"/>
          <w:szCs w:val="21"/>
        </w:rPr>
        <w:t>在保险期间内，被保险人遭受意外伤害事故，且</w:t>
      </w:r>
      <w:r>
        <w:rPr>
          <w:rFonts w:hAnsiTheme="minorEastAsia" w:eastAsiaTheme="minorEastAsia"/>
          <w:b w:val="0"/>
          <w:color w:val="222222"/>
          <w:szCs w:val="21"/>
        </w:rPr>
        <w:t>自该事故发生之日起</w:t>
      </w:r>
      <w:r>
        <w:rPr>
          <w:rFonts w:hAnsi="宋体"/>
          <w:b w:val="0"/>
          <w:szCs w:val="21"/>
        </w:rPr>
        <w:t>下落不明，经人民法院宣告死亡的，保险人按照保险单合同载明的保险金额</w:t>
      </w:r>
      <w:r>
        <w:rPr>
          <w:rFonts w:hAnsiTheme="minorEastAsia" w:eastAsiaTheme="minorEastAsia"/>
          <w:b w:val="0"/>
          <w:color w:val="222222"/>
          <w:szCs w:val="21"/>
        </w:rPr>
        <w:t>向意外身故保险金受益人</w:t>
      </w:r>
      <w:r>
        <w:rPr>
          <w:rFonts w:hAnsi="宋体"/>
          <w:b w:val="0"/>
          <w:szCs w:val="21"/>
        </w:rPr>
        <w:t>给付意外伤害身故保险金。但若被保险人在宣告死亡后</w:t>
      </w:r>
      <w:r>
        <w:rPr>
          <w:rFonts w:hAnsi="宋体"/>
          <w:szCs w:val="21"/>
        </w:rPr>
        <w:t>生还</w:t>
      </w:r>
      <w:r>
        <w:rPr>
          <w:rFonts w:hAnsi="宋体"/>
          <w:b w:val="0"/>
          <w:szCs w:val="21"/>
        </w:rPr>
        <w:t>的，意外身故保险金受益人应于知道</w:t>
      </w:r>
      <w:r>
        <w:rPr>
          <w:rFonts w:hAnsi="宋体"/>
          <w:szCs w:val="21"/>
        </w:rPr>
        <w:t>或者应当知道被保险人生还后三十日内向保险人退还已给付的意外身故保险金。</w:t>
      </w:r>
    </w:p>
    <w:p>
      <w:pPr>
        <w:pStyle w:val="18"/>
        <w:spacing w:afterLines="50"/>
        <w:ind w:firstLine="424" w:firstLineChars="201"/>
        <w:rPr>
          <w:szCs w:val="21"/>
        </w:rPr>
      </w:pPr>
      <w:r>
        <w:rPr>
          <w:rFonts w:hAnsi="宋体"/>
          <w:szCs w:val="21"/>
        </w:rPr>
        <w:t>在给付意外身故保险金前，如该被保险人已依据本保险合同领取过意外伤残保险金，保险人将从给付的意外身故保险金中扣除已给付的意外伤残保险金。</w:t>
      </w:r>
    </w:p>
    <w:p>
      <w:pPr>
        <w:pStyle w:val="18"/>
        <w:spacing w:afterLines="50"/>
        <w:ind w:firstLine="424" w:firstLineChars="201"/>
        <w:outlineLvl w:val="0"/>
        <w:rPr>
          <w:szCs w:val="21"/>
          <w:u w:val="single"/>
        </w:rPr>
      </w:pPr>
      <w:r>
        <w:rPr>
          <w:rFonts w:hAnsi="宋体"/>
          <w:szCs w:val="21"/>
        </w:rPr>
        <w:t>（二）意外伤残保险责任</w:t>
      </w:r>
    </w:p>
    <w:p>
      <w:pPr>
        <w:pStyle w:val="19"/>
        <w:spacing w:afterLines="50"/>
        <w:ind w:left="0" w:leftChars="0"/>
        <w:rPr>
          <w:b/>
          <w:szCs w:val="21"/>
        </w:rPr>
      </w:pPr>
      <w:r>
        <w:rPr>
          <w:rFonts w:hAnsi="宋体"/>
          <w:szCs w:val="21"/>
        </w:rPr>
        <w:t>在保险期间内，被保险人在旅行期间遭受意外伤害事故，</w:t>
      </w:r>
      <w:r>
        <w:rPr>
          <w:rFonts w:hAnsi="宋体"/>
          <w:b/>
          <w:szCs w:val="21"/>
        </w:rPr>
        <w:t>且自该事故发生之日起一百八十日内</w:t>
      </w:r>
      <w:r>
        <w:rPr>
          <w:rFonts w:hAnsiTheme="minorEastAsia" w:eastAsiaTheme="minorEastAsia"/>
          <w:b/>
          <w:color w:val="222222"/>
          <w:szCs w:val="21"/>
        </w:rPr>
        <w:t>（含第一百八十日）</w:t>
      </w:r>
      <w:r>
        <w:rPr>
          <w:rFonts w:hAnsi="宋体"/>
          <w:b/>
          <w:szCs w:val="21"/>
        </w:rPr>
        <w:t>因该事故为直接且单独原因导致被保险人身体伤残的，保险人根据</w:t>
      </w:r>
      <w:r>
        <w:rPr>
          <w:rFonts w:hAnsiTheme="minorEastAsia" w:eastAsiaTheme="minorEastAsia"/>
          <w:b/>
          <w:color w:val="222222"/>
          <w:szCs w:val="21"/>
        </w:rPr>
        <w:t>《人身保险伤残评定标准及代码》（中国保监会，保监发</w:t>
      </w:r>
      <w:r>
        <w:rPr>
          <w:rFonts w:eastAsiaTheme="minorEastAsia"/>
          <w:b/>
          <w:color w:val="222222"/>
          <w:szCs w:val="21"/>
        </w:rPr>
        <w:t>[2014]6</w:t>
      </w:r>
      <w:r>
        <w:rPr>
          <w:rFonts w:hAnsiTheme="minorEastAsia" w:eastAsiaTheme="minorEastAsia"/>
          <w:b/>
          <w:color w:val="222222"/>
          <w:szCs w:val="21"/>
        </w:rPr>
        <w:t>号，标准编号为</w:t>
      </w:r>
      <w:r>
        <w:rPr>
          <w:rFonts w:eastAsiaTheme="minorEastAsia"/>
          <w:b/>
          <w:color w:val="222222"/>
          <w:szCs w:val="21"/>
        </w:rPr>
        <w:t>JR/T 0083-2013</w:t>
      </w:r>
      <w:r>
        <w:rPr>
          <w:rFonts w:hAnsiTheme="minorEastAsia" w:eastAsiaTheme="minorEastAsia"/>
          <w:b/>
          <w:color w:val="222222"/>
          <w:szCs w:val="21"/>
        </w:rPr>
        <w:t>）（以下简称《伤残评定标准》）</w:t>
      </w:r>
      <w:r>
        <w:rPr>
          <w:rFonts w:hAnsi="宋体"/>
          <w:b/>
          <w:szCs w:val="21"/>
        </w:rPr>
        <w:t>的规定对被保险人的伤残等级进行评定，并按评定结果所对应</w:t>
      </w:r>
      <w:r>
        <w:rPr>
          <w:rFonts w:hAnsiTheme="minorEastAsia" w:eastAsiaTheme="minorEastAsia"/>
          <w:b/>
          <w:color w:val="222222"/>
          <w:szCs w:val="21"/>
        </w:rPr>
        <w:t>《伤残评定标准》中</w:t>
      </w:r>
      <w:r>
        <w:rPr>
          <w:rFonts w:hAnsi="宋体"/>
          <w:b/>
          <w:szCs w:val="21"/>
        </w:rPr>
        <w:t>规定的给付比例乘以保险合同载明的保险金额向意外伤残保险金</w:t>
      </w:r>
      <w:r>
        <w:rPr>
          <w:rFonts w:hint="eastAsia" w:hAnsi="宋体"/>
          <w:b/>
          <w:szCs w:val="21"/>
        </w:rPr>
        <w:t>受</w:t>
      </w:r>
      <w:r>
        <w:rPr>
          <w:rFonts w:hAnsi="宋体"/>
          <w:b/>
          <w:szCs w:val="21"/>
        </w:rPr>
        <w:t>益人给付意外伤残保险金。</w:t>
      </w:r>
    </w:p>
    <w:p>
      <w:pPr>
        <w:pStyle w:val="19"/>
        <w:spacing w:afterLines="50"/>
        <w:ind w:left="0" w:leftChars="0" w:firstLine="422"/>
        <w:rPr>
          <w:b/>
          <w:szCs w:val="21"/>
        </w:rPr>
      </w:pPr>
      <w:r>
        <w:rPr>
          <w:rFonts w:hAnsi="宋体"/>
          <w:b/>
          <w:szCs w:val="21"/>
        </w:rPr>
        <w:t>如自意外伤害事故发生之日起一百八十日治疗仍未结束的，则保险人按该意外伤害事故发生之日起第一百八十日的身体情况进行伤残评定，并据此向意外伤残保险金受益人给付意外伤残保险金。</w:t>
      </w:r>
    </w:p>
    <w:p>
      <w:pPr>
        <w:pStyle w:val="19"/>
        <w:spacing w:afterLines="50"/>
        <w:ind w:left="0" w:leftChars="0"/>
        <w:rPr>
          <w:szCs w:val="21"/>
        </w:rPr>
      </w:pPr>
      <w:r>
        <w:rPr>
          <w:rFonts w:hAnsiTheme="minorEastAsia" w:eastAsiaTheme="minorEastAsia"/>
          <w:color w:val="000000" w:themeColor="text1"/>
          <w:szCs w:val="21"/>
          <w14:textFill>
            <w14:solidFill>
              <w14:schemeClr w14:val="tx1"/>
            </w14:solidFill>
          </w14:textFill>
        </w:rPr>
        <w:t>如被保险人在本次意外伤害事故之前已有伤残，保险人按合并后的伤残程度，依本保险合同及《伤残评定标准》规定的评定原则对伤残程度进行评定，</w:t>
      </w:r>
      <w:r>
        <w:rPr>
          <w:rFonts w:hAnsiTheme="minorEastAsia" w:eastAsiaTheme="minorEastAsia"/>
          <w:b/>
          <w:color w:val="222222"/>
          <w:szCs w:val="21"/>
        </w:rPr>
        <w:t>并按评定结果所对应的《伤残评定标准》中规定的给付比例乘以保险合同载明的保险金额向意外伤残保险金受益人给付意外伤残保险金，但应扣除已有伤残程度所对应的意外伤残保险金。</w:t>
      </w:r>
    </w:p>
    <w:p>
      <w:pPr>
        <w:pStyle w:val="19"/>
        <w:spacing w:afterLines="50"/>
        <w:ind w:left="0" w:leftChars="0"/>
        <w:rPr>
          <w:szCs w:val="21"/>
        </w:rPr>
      </w:pPr>
      <w:r>
        <w:rPr>
          <w:rFonts w:hAnsiTheme="minorEastAsia" w:eastAsiaTheme="minorEastAsia"/>
          <w:color w:val="222222"/>
          <w:szCs w:val="21"/>
        </w:rPr>
        <w:t>在保险期间内，</w:t>
      </w:r>
      <w:r>
        <w:rPr>
          <w:rFonts w:hAnsi="宋体"/>
          <w:szCs w:val="21"/>
        </w:rPr>
        <w:t>当被保险人因不同意外伤害事故造成</w:t>
      </w:r>
      <w:r>
        <w:rPr>
          <w:rFonts w:hAnsiTheme="minorEastAsia" w:eastAsiaTheme="minorEastAsia"/>
          <w:color w:val="222222"/>
          <w:szCs w:val="21"/>
        </w:rPr>
        <w:t>《伤残评定标准》所列</w:t>
      </w:r>
      <w:r>
        <w:rPr>
          <w:rFonts w:hAnsi="宋体"/>
          <w:szCs w:val="21"/>
        </w:rPr>
        <w:t>两处或两处以上伤残时，</w:t>
      </w:r>
      <w:r>
        <w:rPr>
          <w:rFonts w:hAnsiTheme="minorEastAsia" w:eastAsiaTheme="minorEastAsia"/>
          <w:color w:val="222222"/>
          <w:szCs w:val="21"/>
        </w:rPr>
        <w:t>如果同一部位和性质的伤残参与了两次或两次以上伤残程度的构成，</w:t>
      </w:r>
      <w:r>
        <w:rPr>
          <w:rFonts w:hAnsiTheme="minorEastAsia" w:eastAsiaTheme="minorEastAsia"/>
          <w:b/>
          <w:color w:val="222222"/>
          <w:szCs w:val="21"/>
        </w:rPr>
        <w:t>则保险人仅给付其中给付比例最高的伤残程度所对应的意外伤残保险金。</w:t>
      </w:r>
      <w:r>
        <w:rPr>
          <w:rFonts w:hint="eastAsia" w:hAnsiTheme="minorEastAsia" w:eastAsiaTheme="minorEastAsia"/>
          <w:b/>
          <w:color w:val="222222"/>
          <w:szCs w:val="21"/>
        </w:rPr>
        <w:t>如果前次伤残项目所对应的给付比例较高，则保险人不再给付后次的意外伤害保险金。</w:t>
      </w:r>
      <w:r>
        <w:rPr>
          <w:rFonts w:hAnsiTheme="minorEastAsia" w:eastAsiaTheme="minorEastAsia"/>
          <w:b/>
          <w:color w:val="222222"/>
          <w:szCs w:val="21"/>
        </w:rPr>
        <w:t>如果后次伤残程度所对应的给付比例比之前任何一次伤残程度所对应的给付比例都高，则保险人给付后次伤残程度所对应的意外伤残保险金时需扣除之前累计已给付的意外伤残保险金。</w:t>
      </w:r>
    </w:p>
    <w:p>
      <w:pPr>
        <w:adjustRightInd w:val="0"/>
        <w:snapToGrid w:val="0"/>
        <w:spacing w:afterLines="50"/>
        <w:ind w:firstLine="424" w:firstLineChars="201"/>
        <w:jc w:val="center"/>
        <w:rPr>
          <w:rFonts w:eastAsiaTheme="minorEastAsia"/>
          <w:b/>
          <w:color w:val="222222"/>
          <w:szCs w:val="21"/>
        </w:rPr>
      </w:pPr>
      <w:r>
        <w:rPr>
          <w:rFonts w:hAnsiTheme="minorEastAsia" w:eastAsiaTheme="minorEastAsia"/>
          <w:b/>
          <w:color w:val="222222"/>
          <w:szCs w:val="21"/>
        </w:rPr>
        <w:t>保险人按本保险合同约定累计给付的各项保险金数额之和以本保险合同的保险金额为限。如果累计给付的各项保险金数额之和达到本保险合同的保险金额，本保险合同终止。</w:t>
      </w:r>
    </w:p>
    <w:p>
      <w:pPr>
        <w:adjustRightInd w:val="0"/>
        <w:snapToGrid w:val="0"/>
        <w:spacing w:afterLines="50"/>
        <w:ind w:firstLine="424" w:firstLineChars="201"/>
        <w:jc w:val="center"/>
        <w:rPr>
          <w:rFonts w:eastAsiaTheme="minorEastAsia"/>
          <w:b/>
          <w:color w:val="222222"/>
          <w:szCs w:val="21"/>
        </w:rPr>
      </w:pPr>
    </w:p>
    <w:p>
      <w:pPr>
        <w:adjustRightInd w:val="0"/>
        <w:snapToGrid w:val="0"/>
        <w:spacing w:afterLines="50"/>
        <w:ind w:firstLine="424" w:firstLineChars="201"/>
        <w:jc w:val="center"/>
        <w:rPr>
          <w:szCs w:val="21"/>
        </w:rPr>
      </w:pPr>
      <w:r>
        <w:rPr>
          <w:rFonts w:hAnsi="宋体"/>
          <w:b/>
          <w:szCs w:val="21"/>
        </w:rPr>
        <w:t>责任免除</w:t>
      </w:r>
    </w:p>
    <w:p>
      <w:pPr>
        <w:pStyle w:val="26"/>
        <w:numPr>
          <w:ilvl w:val="0"/>
          <w:numId w:val="2"/>
        </w:numPr>
        <w:snapToGrid w:val="0"/>
        <w:spacing w:afterLines="50"/>
        <w:ind w:left="0" w:firstLine="426" w:firstLineChars="0"/>
        <w:rPr>
          <w:b/>
          <w:szCs w:val="21"/>
        </w:rPr>
      </w:pPr>
      <w:r>
        <w:rPr>
          <w:rFonts w:hAnsi="宋体"/>
          <w:b/>
          <w:szCs w:val="21"/>
        </w:rPr>
        <w:t>因下列原因导致被保险人身故、伤残的，保险人不承担给付保险金的责任：</w:t>
      </w:r>
    </w:p>
    <w:p>
      <w:pPr>
        <w:snapToGrid w:val="0"/>
        <w:spacing w:afterLines="50"/>
        <w:ind w:firstLine="422" w:firstLineChars="200"/>
        <w:rPr>
          <w:b/>
          <w:szCs w:val="21"/>
        </w:rPr>
      </w:pPr>
      <w:r>
        <w:rPr>
          <w:rFonts w:hAnsi="宋体"/>
          <w:b/>
          <w:szCs w:val="21"/>
        </w:rPr>
        <w:t>（一）战争、类似战争行为、恐怖活动、反恐怖活动、军事行为、武装冲突、暴动、民众骚乱；</w:t>
      </w:r>
    </w:p>
    <w:p>
      <w:pPr>
        <w:snapToGrid w:val="0"/>
        <w:spacing w:afterLines="50"/>
        <w:ind w:firstLine="422" w:firstLineChars="200"/>
        <w:rPr>
          <w:b/>
          <w:szCs w:val="21"/>
        </w:rPr>
      </w:pPr>
      <w:r>
        <w:rPr>
          <w:rFonts w:hAnsi="宋体"/>
          <w:b/>
          <w:szCs w:val="21"/>
        </w:rPr>
        <w:t>（二）任何生物、化学、原子能武器，原子能或核能装置所造成的爆炸、灼伤或辐射；</w:t>
      </w:r>
    </w:p>
    <w:p>
      <w:pPr>
        <w:snapToGrid w:val="0"/>
        <w:spacing w:afterLines="50"/>
        <w:ind w:firstLine="422" w:firstLineChars="200"/>
        <w:rPr>
          <w:b/>
          <w:szCs w:val="21"/>
        </w:rPr>
      </w:pPr>
      <w:r>
        <w:rPr>
          <w:rFonts w:hAnsi="宋体"/>
          <w:b/>
          <w:szCs w:val="21"/>
        </w:rPr>
        <w:t>（三）行政行为或司法行为；</w:t>
      </w:r>
    </w:p>
    <w:p>
      <w:pPr>
        <w:snapToGrid w:val="0"/>
        <w:spacing w:afterLines="50"/>
        <w:ind w:firstLine="422" w:firstLineChars="200"/>
        <w:rPr>
          <w:b/>
          <w:szCs w:val="21"/>
        </w:rPr>
      </w:pPr>
      <w:r>
        <w:rPr>
          <w:rFonts w:hAnsi="宋体"/>
          <w:b/>
          <w:szCs w:val="21"/>
        </w:rPr>
        <w:t>（四）投保人的故意或重大过失行为；</w:t>
      </w:r>
    </w:p>
    <w:p>
      <w:pPr>
        <w:snapToGrid w:val="0"/>
        <w:spacing w:afterLines="50"/>
        <w:ind w:firstLine="422" w:firstLineChars="200"/>
        <w:rPr>
          <w:b/>
          <w:szCs w:val="21"/>
        </w:rPr>
      </w:pPr>
      <w:r>
        <w:rPr>
          <w:rFonts w:hAnsi="宋体"/>
          <w:b/>
          <w:szCs w:val="21"/>
        </w:rPr>
        <w:t>（五）被保险人故意犯罪或者抗拒依法采取的刑事强制措施；</w:t>
      </w:r>
    </w:p>
    <w:p>
      <w:pPr>
        <w:snapToGrid w:val="0"/>
        <w:spacing w:afterLines="50"/>
        <w:ind w:firstLine="422" w:firstLineChars="200"/>
        <w:rPr>
          <w:b/>
          <w:szCs w:val="21"/>
        </w:rPr>
      </w:pPr>
      <w:r>
        <w:rPr>
          <w:rFonts w:hAnsi="宋体"/>
          <w:b/>
          <w:szCs w:val="21"/>
        </w:rPr>
        <w:t>（六）被保险人自致伤害或自杀，但被保险人自杀时为无民事行为能力人的除外；</w:t>
      </w:r>
    </w:p>
    <w:p>
      <w:pPr>
        <w:snapToGrid w:val="0"/>
        <w:spacing w:afterLines="50"/>
        <w:ind w:firstLine="422" w:firstLineChars="200"/>
        <w:rPr>
          <w:b/>
          <w:szCs w:val="21"/>
        </w:rPr>
      </w:pPr>
      <w:r>
        <w:rPr>
          <w:rFonts w:hAnsi="宋体"/>
          <w:b/>
          <w:szCs w:val="21"/>
        </w:rPr>
        <w:t>（七）被保险人殴斗、醉酒，主动吸食或注射毒品；</w:t>
      </w:r>
    </w:p>
    <w:p>
      <w:pPr>
        <w:snapToGrid w:val="0"/>
        <w:spacing w:afterLines="50"/>
        <w:ind w:firstLine="422" w:firstLineChars="200"/>
        <w:rPr>
          <w:b/>
          <w:szCs w:val="21"/>
        </w:rPr>
      </w:pPr>
      <w:r>
        <w:rPr>
          <w:rFonts w:hAnsi="宋体"/>
          <w:b/>
          <w:szCs w:val="21"/>
        </w:rPr>
        <w:t>（八）被保险人酒后驾驶、无合法有效驾驶证驾驶，或驾驶无有效行驶证的机动车；</w:t>
      </w:r>
    </w:p>
    <w:p>
      <w:pPr>
        <w:snapToGrid w:val="0"/>
        <w:spacing w:afterLines="50"/>
        <w:ind w:firstLine="422" w:firstLineChars="200"/>
        <w:rPr>
          <w:b/>
          <w:szCs w:val="21"/>
        </w:rPr>
      </w:pPr>
      <w:r>
        <w:rPr>
          <w:rFonts w:hAnsi="宋体"/>
          <w:b/>
          <w:szCs w:val="21"/>
        </w:rPr>
        <w:t>（九）被保险人乘坐合法商业营运交通工具时违反有关安全乘坐的规定；</w:t>
      </w:r>
    </w:p>
    <w:p>
      <w:pPr>
        <w:snapToGrid w:val="0"/>
        <w:spacing w:afterLines="50"/>
        <w:ind w:firstLine="422" w:firstLineChars="200"/>
        <w:rPr>
          <w:b/>
          <w:szCs w:val="21"/>
        </w:rPr>
      </w:pPr>
      <w:r>
        <w:rPr>
          <w:rFonts w:hAnsi="宋体"/>
          <w:b/>
          <w:szCs w:val="21"/>
        </w:rPr>
        <w:t>（十）被保险人因疾病、妊娠（含宫外孕）、流产（含人工流产）、分娩（含剖宫产）、药物过敏导致的伤害，但因意外伤害导致的流产、分娩造成的伤害不受此限；</w:t>
      </w:r>
    </w:p>
    <w:p>
      <w:pPr>
        <w:snapToGrid w:val="0"/>
        <w:spacing w:afterLines="50"/>
        <w:ind w:firstLine="422" w:firstLineChars="200"/>
        <w:rPr>
          <w:b/>
          <w:szCs w:val="21"/>
        </w:rPr>
      </w:pPr>
      <w:r>
        <w:rPr>
          <w:rFonts w:hAnsi="宋体"/>
          <w:b/>
          <w:szCs w:val="21"/>
        </w:rPr>
        <w:t>（十一）被保险人未遵医嘱，私自使用药物；</w:t>
      </w:r>
    </w:p>
    <w:p>
      <w:pPr>
        <w:snapToGrid w:val="0"/>
        <w:spacing w:afterLines="50"/>
        <w:ind w:firstLine="422" w:firstLineChars="200"/>
        <w:rPr>
          <w:b/>
          <w:szCs w:val="21"/>
        </w:rPr>
      </w:pPr>
      <w:r>
        <w:rPr>
          <w:rFonts w:hAnsi="宋体"/>
          <w:b/>
          <w:szCs w:val="21"/>
        </w:rPr>
        <w:t>（十二）猝死；</w:t>
      </w:r>
    </w:p>
    <w:p>
      <w:pPr>
        <w:snapToGrid w:val="0"/>
        <w:spacing w:afterLines="50"/>
        <w:ind w:firstLine="422" w:firstLineChars="200"/>
        <w:rPr>
          <w:b/>
          <w:szCs w:val="21"/>
        </w:rPr>
      </w:pPr>
      <w:r>
        <w:rPr>
          <w:rFonts w:hAnsi="宋体"/>
          <w:b/>
          <w:szCs w:val="21"/>
        </w:rPr>
        <w:t>（十三）被保险人参与任何职业性体育活动或表演，或任何设有奖金或报酬的运动或表演；</w:t>
      </w:r>
    </w:p>
    <w:p>
      <w:pPr>
        <w:snapToGrid w:val="0"/>
        <w:spacing w:afterLines="50"/>
        <w:ind w:firstLine="422" w:firstLineChars="200"/>
        <w:rPr>
          <w:b/>
          <w:szCs w:val="21"/>
        </w:rPr>
      </w:pPr>
      <w:r>
        <w:rPr>
          <w:rFonts w:hAnsi="宋体"/>
          <w:b/>
          <w:szCs w:val="21"/>
        </w:rPr>
        <w:t>（十四）被保险人参加赛马、赛车等任何比赛或竞技性活动，或进行各种车辆表演、车辆竞赛、特技表演；</w:t>
      </w:r>
    </w:p>
    <w:p>
      <w:pPr>
        <w:snapToGrid w:val="0"/>
        <w:spacing w:afterLines="50"/>
        <w:ind w:firstLine="422" w:firstLineChars="200"/>
        <w:rPr>
          <w:b/>
          <w:szCs w:val="21"/>
        </w:rPr>
      </w:pPr>
      <w:r>
        <w:rPr>
          <w:rFonts w:hAnsi="宋体"/>
          <w:b/>
          <w:szCs w:val="21"/>
        </w:rPr>
        <w:t>（十五）被保险人在参加高风险运动时，违反相关高风险运动设施管理方的安全管理规定。</w:t>
      </w:r>
    </w:p>
    <w:p>
      <w:pPr>
        <w:pStyle w:val="19"/>
        <w:spacing w:afterLines="50"/>
        <w:ind w:left="0" w:leftChars="0" w:firstLine="422"/>
        <w:jc w:val="center"/>
        <w:rPr>
          <w:b/>
          <w:szCs w:val="21"/>
        </w:rPr>
      </w:pPr>
    </w:p>
    <w:p>
      <w:pPr>
        <w:pStyle w:val="19"/>
        <w:spacing w:afterLines="50"/>
        <w:ind w:left="0" w:leftChars="0" w:firstLine="426" w:firstLineChars="0"/>
        <w:jc w:val="center"/>
        <w:rPr>
          <w:b/>
          <w:szCs w:val="21"/>
        </w:rPr>
      </w:pPr>
      <w:r>
        <w:rPr>
          <w:rFonts w:hAnsi="宋体"/>
          <w:b/>
          <w:szCs w:val="21"/>
        </w:rPr>
        <w:t>保险金额和保险费</w:t>
      </w:r>
    </w:p>
    <w:p>
      <w:pPr>
        <w:pStyle w:val="18"/>
        <w:numPr>
          <w:ilvl w:val="0"/>
          <w:numId w:val="2"/>
        </w:numPr>
        <w:spacing w:afterLines="50"/>
        <w:ind w:left="0" w:firstLine="426"/>
        <w:rPr>
          <w:b w:val="0"/>
          <w:szCs w:val="21"/>
        </w:rPr>
      </w:pPr>
      <w:r>
        <w:rPr>
          <w:rFonts w:hAnsi="宋体"/>
          <w:szCs w:val="21"/>
        </w:rPr>
        <w:t>保险金额是保险人承担给付保险金责任的最高限额。</w:t>
      </w:r>
      <w:r>
        <w:rPr>
          <w:rFonts w:hAnsi="宋体"/>
          <w:b w:val="0"/>
          <w:szCs w:val="21"/>
        </w:rPr>
        <w:t>本保险合同的保险金额由投保人在投保时与保险人约定，并在保险单中载明。</w:t>
      </w:r>
    </w:p>
    <w:p>
      <w:pPr>
        <w:pStyle w:val="19"/>
        <w:numPr>
          <w:ilvl w:val="0"/>
          <w:numId w:val="2"/>
        </w:numPr>
        <w:spacing w:afterLines="50"/>
        <w:ind w:left="0" w:leftChars="0" w:firstLine="426" w:firstLineChars="0"/>
        <w:rPr>
          <w:b/>
          <w:szCs w:val="21"/>
        </w:rPr>
      </w:pPr>
      <w:r>
        <w:rPr>
          <w:rStyle w:val="12"/>
          <w:rFonts w:hAnsiTheme="minorEastAsia" w:eastAsiaTheme="minorEastAsia"/>
          <w:b w:val="0"/>
          <w:color w:val="222222"/>
          <w:szCs w:val="21"/>
        </w:rPr>
        <w:t>保险费依据保险金额与保险费率计收，在保险单中载明。投保人应该按照保险合同约定向保险人交纳保险费。</w:t>
      </w:r>
    </w:p>
    <w:p>
      <w:pPr>
        <w:adjustRightInd w:val="0"/>
        <w:snapToGrid w:val="0"/>
        <w:spacing w:afterLines="50"/>
        <w:ind w:firstLine="426"/>
        <w:jc w:val="center"/>
        <w:rPr>
          <w:b/>
          <w:szCs w:val="21"/>
        </w:rPr>
      </w:pPr>
    </w:p>
    <w:p>
      <w:pPr>
        <w:adjustRightInd w:val="0"/>
        <w:snapToGrid w:val="0"/>
        <w:spacing w:afterLines="50"/>
        <w:ind w:firstLine="426"/>
        <w:jc w:val="center"/>
        <w:rPr>
          <w:b/>
          <w:szCs w:val="21"/>
        </w:rPr>
      </w:pPr>
      <w:r>
        <w:rPr>
          <w:rFonts w:hAnsi="宋体"/>
          <w:b/>
          <w:szCs w:val="21"/>
        </w:rPr>
        <w:t>保险期间</w:t>
      </w:r>
    </w:p>
    <w:p>
      <w:pPr>
        <w:pStyle w:val="19"/>
        <w:numPr>
          <w:ilvl w:val="0"/>
          <w:numId w:val="2"/>
        </w:numPr>
        <w:spacing w:afterLines="50"/>
        <w:ind w:left="0" w:leftChars="0" w:firstLine="426" w:firstLineChars="0"/>
        <w:rPr>
          <w:szCs w:val="21"/>
        </w:rPr>
      </w:pPr>
      <w:r>
        <w:rPr>
          <w:rFonts w:hAnsi="宋体"/>
          <w:szCs w:val="21"/>
        </w:rPr>
        <w:t>本保险合同保险期间由</w:t>
      </w:r>
      <w:r>
        <w:rPr>
          <w:rFonts w:hAnsiTheme="minorEastAsia" w:eastAsiaTheme="minorEastAsia"/>
        </w:rPr>
        <w:t>投保人在投保时与保险人约定，最长不超过一年，具体以保险单上载明起讫时间为准。</w:t>
      </w:r>
    </w:p>
    <w:p>
      <w:pPr>
        <w:adjustRightInd w:val="0"/>
        <w:snapToGrid w:val="0"/>
        <w:spacing w:afterLines="50"/>
        <w:ind w:firstLine="426"/>
        <w:jc w:val="center"/>
        <w:rPr>
          <w:b/>
          <w:szCs w:val="21"/>
        </w:rPr>
      </w:pPr>
    </w:p>
    <w:p>
      <w:pPr>
        <w:adjustRightInd w:val="0"/>
        <w:snapToGrid w:val="0"/>
        <w:spacing w:afterLines="50"/>
        <w:ind w:firstLine="426"/>
        <w:jc w:val="center"/>
        <w:rPr>
          <w:b/>
          <w:szCs w:val="21"/>
        </w:rPr>
      </w:pPr>
      <w:r>
        <w:rPr>
          <w:rFonts w:hAnsi="宋体"/>
          <w:b/>
          <w:szCs w:val="21"/>
        </w:rPr>
        <w:t>保险人义务</w:t>
      </w:r>
    </w:p>
    <w:p>
      <w:pPr>
        <w:pStyle w:val="19"/>
        <w:numPr>
          <w:ilvl w:val="0"/>
          <w:numId w:val="2"/>
        </w:numPr>
        <w:spacing w:afterLines="50"/>
        <w:ind w:left="0" w:leftChars="0" w:firstLine="426" w:firstLineChars="0"/>
        <w:rPr>
          <w:szCs w:val="21"/>
        </w:rPr>
      </w:pPr>
      <w:r>
        <w:rPr>
          <w:rFonts w:hAnsi="宋体"/>
          <w:szCs w:val="21"/>
        </w:rPr>
        <w:t>本保险合同成立后，保险人应当及时向投保人签发保险单或其他保险凭证。</w:t>
      </w:r>
    </w:p>
    <w:p>
      <w:pPr>
        <w:pStyle w:val="19"/>
        <w:numPr>
          <w:ilvl w:val="0"/>
          <w:numId w:val="2"/>
        </w:numPr>
        <w:spacing w:afterLines="50"/>
        <w:ind w:left="0" w:leftChars="0" w:firstLine="426" w:firstLineChars="0"/>
        <w:rPr>
          <w:szCs w:val="21"/>
        </w:rPr>
      </w:pPr>
      <w:r>
        <w:rPr>
          <w:rFonts w:hAnsi="宋体"/>
          <w:szCs w:val="21"/>
        </w:rPr>
        <w:t>保险人认为被保险人提供的有关索赔的证明和资料不完整的，应当及时一次性通知投保人、被保险人补充提供。</w:t>
      </w:r>
    </w:p>
    <w:p>
      <w:pPr>
        <w:pStyle w:val="26"/>
        <w:numPr>
          <w:ilvl w:val="0"/>
          <w:numId w:val="2"/>
        </w:numPr>
        <w:adjustRightInd w:val="0"/>
        <w:snapToGrid w:val="0"/>
        <w:spacing w:afterLines="50"/>
        <w:ind w:left="0" w:firstLine="426" w:firstLineChars="0"/>
        <w:rPr>
          <w:szCs w:val="21"/>
        </w:rPr>
      </w:pPr>
      <w:r>
        <w:rPr>
          <w:rFonts w:hAnsi="宋体"/>
        </w:rPr>
        <w:t>保险人收到被保险人或者受益人的给付保险金的请求后，应当及时作出是否属于保险责任的核定；情形复杂的，保险人</w:t>
      </w:r>
      <w:r>
        <w:rPr>
          <w:rFonts w:hAnsi="宋体"/>
          <w:color w:val="222222"/>
        </w:rPr>
        <w:t>应当在三十日内作出核定，但本保险合同另有约定的除外。</w:t>
      </w:r>
    </w:p>
    <w:p>
      <w:pPr>
        <w:adjustRightInd w:val="0"/>
        <w:snapToGrid w:val="0"/>
        <w:spacing w:afterLines="50"/>
        <w:ind w:firstLine="411" w:firstLineChars="196"/>
        <w:rPr>
          <w:szCs w:val="21"/>
        </w:rPr>
      </w:pPr>
      <w:r>
        <w:rPr>
          <w:rFonts w:hAnsi="宋体"/>
          <w:szCs w:val="21"/>
        </w:rPr>
        <w:t>保险人应当将核定结果通知被保险人或者受益人；对属于保险责任的，保险人在与被保险人或者受益人达成给付保险金的协议后十日内，履行给付保险金义务。保险合同对给付保险金的期限有约定的，保险人应当按照约定履行给付保险金的义务。</w:t>
      </w:r>
    </w:p>
    <w:p>
      <w:pPr>
        <w:adjustRightInd w:val="0"/>
        <w:snapToGrid w:val="0"/>
        <w:spacing w:afterLines="50"/>
        <w:ind w:firstLine="411" w:firstLineChars="196"/>
        <w:rPr>
          <w:szCs w:val="21"/>
        </w:rPr>
      </w:pPr>
      <w:r>
        <w:rPr>
          <w:rFonts w:hAnsi="宋体"/>
          <w:szCs w:val="21"/>
        </w:rPr>
        <w:t>保险人依照前款约定作出核定后，</w:t>
      </w:r>
      <w:r>
        <w:rPr>
          <w:rStyle w:val="15"/>
          <w:rFonts w:hAnsi="宋体"/>
          <w:szCs w:val="21"/>
        </w:rPr>
        <w:t>对不属于保险责任的，应当自作出核定之日起三日内向被保险人或者受益人发出拒绝给付保险金通知书，并说明理由</w:t>
      </w:r>
      <w:r>
        <w:rPr>
          <w:rFonts w:hAnsi="宋体"/>
          <w:szCs w:val="21"/>
        </w:rPr>
        <w:t>。</w:t>
      </w:r>
    </w:p>
    <w:p>
      <w:pPr>
        <w:pStyle w:val="19"/>
        <w:numPr>
          <w:ilvl w:val="0"/>
          <w:numId w:val="2"/>
        </w:numPr>
        <w:spacing w:afterLines="50"/>
        <w:ind w:left="0" w:leftChars="0" w:firstLine="426" w:firstLineChars="0"/>
        <w:rPr>
          <w:szCs w:val="21"/>
        </w:rPr>
      </w:pPr>
      <w:r>
        <w:rPr>
          <w:rFonts w:hAnsi="宋体"/>
          <w:szCs w:val="21"/>
        </w:rPr>
        <w:t>保险人自收到给付保险金的请求和有关证明、资料之日起六十日内，对其给付的数额不能确定的，应当根据已有证明和资料可以确定的数额先予支付；保险人最终确定给付的数额后，应当支付相应的差额。</w:t>
      </w:r>
    </w:p>
    <w:p>
      <w:pPr>
        <w:adjustRightInd w:val="0"/>
        <w:snapToGrid w:val="0"/>
        <w:spacing w:afterLines="50"/>
        <w:ind w:firstLine="426"/>
        <w:jc w:val="center"/>
        <w:rPr>
          <w:b/>
          <w:szCs w:val="21"/>
        </w:rPr>
      </w:pPr>
    </w:p>
    <w:p>
      <w:pPr>
        <w:adjustRightInd w:val="0"/>
        <w:snapToGrid w:val="0"/>
        <w:spacing w:afterLines="50"/>
        <w:ind w:firstLine="426"/>
        <w:jc w:val="center"/>
        <w:rPr>
          <w:szCs w:val="21"/>
        </w:rPr>
      </w:pPr>
      <w:r>
        <w:rPr>
          <w:rFonts w:hAnsi="宋体"/>
          <w:b/>
          <w:szCs w:val="21"/>
        </w:rPr>
        <w:t>投保人、被保险人义务</w:t>
      </w:r>
    </w:p>
    <w:p>
      <w:pPr>
        <w:pStyle w:val="18"/>
        <w:numPr>
          <w:ilvl w:val="0"/>
          <w:numId w:val="2"/>
        </w:numPr>
        <w:spacing w:afterLines="50"/>
        <w:ind w:left="0" w:firstLine="426"/>
        <w:rPr>
          <w:b w:val="0"/>
          <w:szCs w:val="21"/>
        </w:rPr>
      </w:pPr>
      <w:r>
        <w:rPr>
          <w:rFonts w:hAnsi="宋体"/>
          <w:b w:val="0"/>
          <w:szCs w:val="21"/>
        </w:rPr>
        <w:t>除另有约定外，投保人应当在本保险合同成立时一次性交清保险费。</w:t>
      </w:r>
      <w:r>
        <w:rPr>
          <w:rFonts w:hAnsiTheme="minorEastAsia" w:eastAsiaTheme="minorEastAsia"/>
          <w:color w:val="222222"/>
          <w:szCs w:val="21"/>
        </w:rPr>
        <w:t>保险费交清前发生的保险事故，保险人不承担保险金赔偿或给付责任。</w:t>
      </w:r>
      <w:r>
        <w:rPr>
          <w:b w:val="0"/>
          <w:szCs w:val="21"/>
        </w:rPr>
        <w:t xml:space="preserve"> </w:t>
      </w:r>
    </w:p>
    <w:p>
      <w:pPr>
        <w:pStyle w:val="18"/>
        <w:numPr>
          <w:ilvl w:val="0"/>
          <w:numId w:val="2"/>
        </w:numPr>
        <w:spacing w:afterLines="50"/>
        <w:ind w:left="0" w:firstLine="426"/>
        <w:rPr>
          <w:b w:val="0"/>
          <w:szCs w:val="21"/>
        </w:rPr>
      </w:pPr>
      <w:r>
        <w:rPr>
          <w:rFonts w:hAnsi="宋体"/>
          <w:b w:val="0"/>
          <w:szCs w:val="21"/>
        </w:rPr>
        <w:t>订立本保险合同时，保险人就被保险人的有关情况提出询问的，投保人应当如实告知。</w:t>
      </w:r>
    </w:p>
    <w:p>
      <w:pPr>
        <w:pStyle w:val="19"/>
        <w:spacing w:afterLines="50"/>
        <w:ind w:left="0" w:leftChars="0" w:firstLine="413" w:firstLineChars="196"/>
        <w:rPr>
          <w:b/>
          <w:szCs w:val="21"/>
        </w:rPr>
      </w:pPr>
      <w:r>
        <w:rPr>
          <w:rFonts w:hAnsi="宋体"/>
          <w:b/>
          <w:szCs w:val="21"/>
        </w:rPr>
        <w:t>投保人故意或者因重大过失未履行前款规定的义务，足以影响保险人决定是否同意承保或者提高保险费率的，保险人有权解除本保险合同。</w:t>
      </w:r>
    </w:p>
    <w:p>
      <w:pPr>
        <w:pStyle w:val="19"/>
        <w:spacing w:afterLines="50"/>
        <w:ind w:left="0" w:leftChars="0"/>
        <w:rPr>
          <w:szCs w:val="21"/>
        </w:rPr>
      </w:pPr>
      <w:r>
        <w:rPr>
          <w:rFonts w:hAnsi="宋体"/>
          <w:szCs w:val="21"/>
        </w:rPr>
        <w:t>前款规定的合同解除权，自保险人知道有解除事由之日起，超过三十日不行使而消灭。</w:t>
      </w:r>
    </w:p>
    <w:p>
      <w:pPr>
        <w:pStyle w:val="19"/>
        <w:spacing w:afterLines="50"/>
        <w:ind w:left="0" w:leftChars="0" w:firstLine="422"/>
        <w:rPr>
          <w:b/>
          <w:szCs w:val="21"/>
        </w:rPr>
      </w:pPr>
      <w:r>
        <w:rPr>
          <w:rFonts w:hAnsi="宋体"/>
          <w:b/>
          <w:szCs w:val="21"/>
        </w:rPr>
        <w:t>投保人故意不履行如实告知义务的，保险人对于合同解除前发生的保险事故，不承担给付保险金责任，并不退还保险费。</w:t>
      </w:r>
    </w:p>
    <w:p>
      <w:pPr>
        <w:pStyle w:val="19"/>
        <w:spacing w:afterLines="50"/>
        <w:ind w:left="0" w:leftChars="0" w:firstLine="413" w:firstLineChars="196"/>
        <w:rPr>
          <w:b/>
          <w:szCs w:val="21"/>
        </w:rPr>
      </w:pPr>
      <w:r>
        <w:rPr>
          <w:rFonts w:hAnsi="宋体"/>
          <w:b/>
          <w:szCs w:val="21"/>
        </w:rPr>
        <w:t>投保人因重大过失未履行如实告知义务，对保险事故的发生有严重影响的，保险人对于合同解除前发生的保险事故，不承担给付保险金责任，但应当退还保险费。</w:t>
      </w:r>
    </w:p>
    <w:p>
      <w:pPr>
        <w:pStyle w:val="18"/>
        <w:spacing w:afterLines="50"/>
        <w:ind w:firstLine="411" w:firstLineChars="196"/>
        <w:rPr>
          <w:b w:val="0"/>
          <w:szCs w:val="21"/>
        </w:rPr>
      </w:pPr>
      <w:r>
        <w:rPr>
          <w:rFonts w:hAnsi="宋体"/>
          <w:b w:val="0"/>
          <w:szCs w:val="21"/>
        </w:rPr>
        <w:t>保险人在合同订立时已经知道投保人未如实告知的情况的，保险人不得解除合同；发生保险事故的，保险人应当承担给付保险金责任。</w:t>
      </w:r>
    </w:p>
    <w:p>
      <w:pPr>
        <w:pStyle w:val="18"/>
        <w:numPr>
          <w:ilvl w:val="0"/>
          <w:numId w:val="2"/>
        </w:numPr>
        <w:spacing w:afterLines="50"/>
        <w:ind w:left="0" w:firstLine="426"/>
        <w:rPr>
          <w:b w:val="0"/>
          <w:szCs w:val="21"/>
        </w:rPr>
      </w:pPr>
      <w:r>
        <w:rPr>
          <w:rFonts w:hAnsi="宋体"/>
          <w:b w:val="0"/>
          <w:szCs w:val="21"/>
        </w:rPr>
        <w:t>投保人</w:t>
      </w:r>
      <w:r>
        <w:rPr>
          <w:rFonts w:hAnsi="宋体"/>
          <w:szCs w:val="21"/>
        </w:rPr>
        <w:t>住所</w:t>
      </w:r>
      <w:r>
        <w:rPr>
          <w:rFonts w:hAnsi="宋体"/>
          <w:b w:val="0"/>
          <w:szCs w:val="21"/>
        </w:rPr>
        <w:t>或通讯地址变更时，应及时以书面形式通知保险人。投保人未通知的，保险人按本保险合同所载的最后住所或通讯地址发送的有关通知，均视为已发送给投保人。</w:t>
      </w:r>
    </w:p>
    <w:p>
      <w:pPr>
        <w:pStyle w:val="18"/>
        <w:numPr>
          <w:ilvl w:val="0"/>
          <w:numId w:val="2"/>
        </w:numPr>
        <w:spacing w:afterLines="50"/>
        <w:ind w:left="0" w:firstLine="426"/>
        <w:rPr>
          <w:b w:val="0"/>
          <w:szCs w:val="21"/>
        </w:rPr>
      </w:pPr>
      <w:r>
        <w:rPr>
          <w:rFonts w:hAnsi="宋体"/>
          <w:b w:val="0"/>
          <w:szCs w:val="21"/>
        </w:rPr>
        <w:t>发生保险责任范围内的事故后，投保人、被保险人或者保险金受益人应及时通知保险人，并书面说明事故发生的原因、经过和损失程度；</w:t>
      </w:r>
      <w:r>
        <w:rPr>
          <w:rFonts w:hAnsi="宋体"/>
          <w:szCs w:val="21"/>
        </w:rPr>
        <w:t>故意或因重大过失未及时通知，致使保险事故的性质、原因、损失程度等难以确定的，保险人对无法确定的部分，不承担给付保险金责任</w:t>
      </w:r>
      <w:r>
        <w:rPr>
          <w:rFonts w:hAnsi="宋体"/>
          <w:b w:val="0"/>
          <w:szCs w:val="21"/>
        </w:rPr>
        <w:t>，但保险人通过其它途径已经及时知道或者应当及时知道保险事故发生的除外。</w:t>
      </w:r>
    </w:p>
    <w:p>
      <w:pPr>
        <w:pStyle w:val="19"/>
        <w:numPr>
          <w:ilvl w:val="0"/>
          <w:numId w:val="2"/>
        </w:numPr>
        <w:spacing w:afterLines="50"/>
        <w:ind w:left="0" w:leftChars="0" w:firstLine="426" w:firstLineChars="0"/>
        <w:rPr>
          <w:szCs w:val="21"/>
        </w:rPr>
      </w:pPr>
      <w:r>
        <w:rPr>
          <w:rFonts w:hAnsi="宋体"/>
          <w:szCs w:val="21"/>
        </w:rPr>
        <w:t>上述</w:t>
      </w:r>
      <w:r>
        <w:rPr>
          <w:rFonts w:hAnsiTheme="minorEastAsia" w:eastAsiaTheme="minorEastAsia"/>
          <w:kern w:val="0"/>
        </w:rPr>
        <w:t>投保人、被保险人的义务，</w:t>
      </w:r>
      <w:r>
        <w:rPr>
          <w:rFonts w:hAnsi="宋体"/>
          <w:szCs w:val="21"/>
        </w:rPr>
        <w:t>不包括因</w:t>
      </w:r>
      <w:r>
        <w:rPr>
          <w:rFonts w:hAnsi="宋体"/>
          <w:b/>
          <w:szCs w:val="21"/>
        </w:rPr>
        <w:t>不可抗力</w:t>
      </w:r>
      <w:r>
        <w:rPr>
          <w:rFonts w:hAnsi="宋体"/>
          <w:szCs w:val="21"/>
        </w:rPr>
        <w:t>而导致的</w:t>
      </w:r>
      <w:r>
        <w:rPr>
          <w:rFonts w:hAnsiTheme="minorEastAsia" w:eastAsiaTheme="minorEastAsia"/>
          <w:kern w:val="0"/>
        </w:rPr>
        <w:t>延迟</w:t>
      </w:r>
      <w:r>
        <w:rPr>
          <w:rFonts w:hAnsi="宋体"/>
          <w:szCs w:val="21"/>
        </w:rPr>
        <w:t>。</w:t>
      </w:r>
    </w:p>
    <w:p>
      <w:pPr>
        <w:adjustRightInd w:val="0"/>
        <w:snapToGrid w:val="0"/>
        <w:spacing w:afterLines="50"/>
        <w:ind w:firstLine="426"/>
        <w:jc w:val="center"/>
        <w:rPr>
          <w:b/>
          <w:szCs w:val="21"/>
        </w:rPr>
      </w:pPr>
    </w:p>
    <w:p>
      <w:pPr>
        <w:adjustRightInd w:val="0"/>
        <w:snapToGrid w:val="0"/>
        <w:spacing w:afterLines="50"/>
        <w:ind w:firstLine="426"/>
        <w:jc w:val="center"/>
        <w:rPr>
          <w:szCs w:val="21"/>
        </w:rPr>
      </w:pPr>
      <w:r>
        <w:rPr>
          <w:rFonts w:hAnsi="宋体"/>
          <w:b/>
          <w:szCs w:val="21"/>
        </w:rPr>
        <w:t>保险金申请与给付</w:t>
      </w:r>
    </w:p>
    <w:p>
      <w:pPr>
        <w:pStyle w:val="26"/>
        <w:numPr>
          <w:ilvl w:val="0"/>
          <w:numId w:val="2"/>
        </w:numPr>
        <w:spacing w:afterLines="50"/>
        <w:ind w:left="0" w:firstLine="426" w:firstLineChars="0"/>
        <w:rPr>
          <w:bCs/>
          <w:szCs w:val="21"/>
        </w:rPr>
      </w:pPr>
      <w:r>
        <w:rPr>
          <w:rFonts w:hAnsi="宋体"/>
          <w:b/>
          <w:szCs w:val="21"/>
        </w:rPr>
        <w:t>保险金申请人</w:t>
      </w:r>
      <w:r>
        <w:rPr>
          <w:rFonts w:hAnsi="宋体"/>
          <w:szCs w:val="21"/>
        </w:rPr>
        <w:t>向保险人申请给付保险金时，应填写保险金给付申请书，并提供相关材料。</w:t>
      </w:r>
      <w:r>
        <w:rPr>
          <w:rFonts w:hAnsi="宋体"/>
          <w:b/>
          <w:szCs w:val="21"/>
        </w:rPr>
        <w:t>保险金申请人未能提供有关材料，导致保险人无法核实该申请的真实性的，保险人对无法核实部分不承担给付保险金的责任。</w:t>
      </w:r>
      <w:r>
        <w:rPr>
          <w:rFonts w:hAnsi="宋体"/>
          <w:bCs/>
          <w:szCs w:val="21"/>
        </w:rPr>
        <w:t>保险金申请人向保险人申请给付保险金时，应提交以下材料。保险金申请人因特殊原因不能提供以下材料的，应提供其他合法有效的材料。</w:t>
      </w:r>
    </w:p>
    <w:p>
      <w:pPr>
        <w:pStyle w:val="18"/>
        <w:tabs>
          <w:tab w:val="clear" w:pos="840"/>
        </w:tabs>
        <w:spacing w:afterLines="50"/>
        <w:ind w:firstLine="422" w:firstLineChars="200"/>
        <w:outlineLvl w:val="0"/>
        <w:rPr>
          <w:szCs w:val="21"/>
        </w:rPr>
      </w:pPr>
      <w:r>
        <w:rPr>
          <w:rFonts w:hAnsi="宋体"/>
          <w:szCs w:val="21"/>
        </w:rPr>
        <w:t>（一）意外身故保险金申请</w:t>
      </w:r>
    </w:p>
    <w:p>
      <w:pPr>
        <w:pStyle w:val="19"/>
        <w:spacing w:afterLines="50"/>
        <w:ind w:left="0" w:leftChars="0"/>
        <w:rPr>
          <w:szCs w:val="21"/>
        </w:rPr>
      </w:pPr>
      <w:r>
        <w:rPr>
          <w:rFonts w:hint="eastAsia"/>
          <w:szCs w:val="21"/>
        </w:rPr>
        <w:t>（</w:t>
      </w:r>
      <w:r>
        <w:rPr>
          <w:szCs w:val="21"/>
        </w:rPr>
        <w:t>1</w:t>
      </w:r>
      <w:r>
        <w:rPr>
          <w:rFonts w:hint="eastAsia"/>
          <w:szCs w:val="21"/>
        </w:rPr>
        <w:t>）</w:t>
      </w:r>
      <w:r>
        <w:rPr>
          <w:rFonts w:hAnsi="宋体"/>
          <w:szCs w:val="21"/>
        </w:rPr>
        <w:t>保险金给付申请书；</w:t>
      </w:r>
    </w:p>
    <w:p>
      <w:pPr>
        <w:pStyle w:val="19"/>
        <w:spacing w:afterLines="50"/>
        <w:ind w:left="0" w:leftChars="0"/>
        <w:rPr>
          <w:szCs w:val="21"/>
        </w:rPr>
      </w:pPr>
      <w:r>
        <w:rPr>
          <w:rFonts w:hint="eastAsia"/>
          <w:szCs w:val="21"/>
        </w:rPr>
        <w:t>（</w:t>
      </w:r>
      <w:r>
        <w:rPr>
          <w:szCs w:val="21"/>
        </w:rPr>
        <w:t>2</w:t>
      </w:r>
      <w:r>
        <w:rPr>
          <w:rFonts w:hint="eastAsia"/>
          <w:szCs w:val="21"/>
        </w:rPr>
        <w:t>）</w:t>
      </w:r>
      <w:r>
        <w:rPr>
          <w:rFonts w:hAnsi="宋体"/>
          <w:szCs w:val="21"/>
        </w:rPr>
        <w:t>保险单或其他保险凭证；</w:t>
      </w:r>
    </w:p>
    <w:p>
      <w:pPr>
        <w:pStyle w:val="19"/>
        <w:spacing w:afterLines="50"/>
        <w:ind w:left="0" w:leftChars="0"/>
        <w:rPr>
          <w:szCs w:val="21"/>
        </w:rPr>
      </w:pPr>
      <w:r>
        <w:rPr>
          <w:rFonts w:hint="eastAsia"/>
          <w:szCs w:val="21"/>
        </w:rPr>
        <w:t>（</w:t>
      </w:r>
      <w:r>
        <w:rPr>
          <w:szCs w:val="21"/>
        </w:rPr>
        <w:t>3</w:t>
      </w:r>
      <w:r>
        <w:rPr>
          <w:rFonts w:hint="eastAsia"/>
          <w:szCs w:val="21"/>
        </w:rPr>
        <w:t>）</w:t>
      </w:r>
      <w:r>
        <w:rPr>
          <w:rFonts w:hAnsi="宋体"/>
          <w:szCs w:val="21"/>
        </w:rPr>
        <w:t>受益人的有效身份证件及与被保险人关系证明；</w:t>
      </w:r>
    </w:p>
    <w:p>
      <w:pPr>
        <w:pStyle w:val="19"/>
        <w:spacing w:afterLines="50"/>
        <w:ind w:left="0" w:leftChars="0"/>
        <w:rPr>
          <w:szCs w:val="21"/>
        </w:rPr>
      </w:pPr>
      <w:r>
        <w:rPr>
          <w:rFonts w:hint="eastAsia"/>
          <w:szCs w:val="21"/>
        </w:rPr>
        <w:t>（</w:t>
      </w:r>
      <w:r>
        <w:rPr>
          <w:szCs w:val="21"/>
        </w:rPr>
        <w:t>4</w:t>
      </w:r>
      <w:r>
        <w:rPr>
          <w:rFonts w:hint="eastAsia"/>
          <w:szCs w:val="21"/>
        </w:rPr>
        <w:t>）</w:t>
      </w:r>
      <w:r>
        <w:rPr>
          <w:rFonts w:hAnsi="宋体"/>
          <w:szCs w:val="21"/>
        </w:rPr>
        <w:t>意外伤害事故证明；</w:t>
      </w:r>
    </w:p>
    <w:p>
      <w:pPr>
        <w:pStyle w:val="19"/>
        <w:spacing w:afterLines="50"/>
        <w:ind w:left="0" w:leftChars="0"/>
        <w:rPr>
          <w:szCs w:val="21"/>
        </w:rPr>
      </w:pPr>
      <w:r>
        <w:rPr>
          <w:rFonts w:hint="eastAsia"/>
          <w:szCs w:val="21"/>
        </w:rPr>
        <w:t>（</w:t>
      </w:r>
      <w:r>
        <w:rPr>
          <w:szCs w:val="21"/>
        </w:rPr>
        <w:t>5</w:t>
      </w:r>
      <w:r>
        <w:rPr>
          <w:rFonts w:hint="eastAsia"/>
          <w:szCs w:val="21"/>
        </w:rPr>
        <w:t>）</w:t>
      </w:r>
      <w:r>
        <w:rPr>
          <w:rFonts w:hAnsi="宋体"/>
          <w:szCs w:val="21"/>
        </w:rPr>
        <w:t>国家卫生行政部门认定的</w:t>
      </w:r>
      <w:r>
        <w:rPr>
          <w:rFonts w:hAnsi="宋体"/>
          <w:b/>
          <w:szCs w:val="21"/>
        </w:rPr>
        <w:t>医疗机构</w:t>
      </w:r>
      <w:r>
        <w:rPr>
          <w:rFonts w:hAnsi="宋体"/>
          <w:szCs w:val="21"/>
        </w:rPr>
        <w:t>、公安部门或其他相关机构出具的被保险人的死亡证明（或宣告死亡判决书）、火化</w:t>
      </w:r>
      <w:r>
        <w:rPr>
          <w:szCs w:val="21"/>
        </w:rPr>
        <w:t>/</w:t>
      </w:r>
      <w:r>
        <w:rPr>
          <w:rFonts w:hAnsi="宋体"/>
          <w:szCs w:val="21"/>
        </w:rPr>
        <w:t>土葬证明或户口注销证明；</w:t>
      </w:r>
    </w:p>
    <w:p>
      <w:pPr>
        <w:pStyle w:val="19"/>
        <w:spacing w:afterLines="50"/>
        <w:ind w:left="0" w:leftChars="0"/>
        <w:rPr>
          <w:szCs w:val="21"/>
        </w:rPr>
      </w:pPr>
      <w:r>
        <w:rPr>
          <w:rFonts w:hint="eastAsia"/>
          <w:szCs w:val="21"/>
        </w:rPr>
        <w:t>（</w:t>
      </w:r>
      <w:r>
        <w:rPr>
          <w:szCs w:val="21"/>
        </w:rPr>
        <w:t>6</w:t>
      </w:r>
      <w:r>
        <w:rPr>
          <w:rFonts w:hint="eastAsia"/>
          <w:szCs w:val="21"/>
        </w:rPr>
        <w:t>）</w:t>
      </w:r>
      <w:r>
        <w:rPr>
          <w:rFonts w:hAnsi="宋体"/>
          <w:szCs w:val="21"/>
        </w:rPr>
        <w:t>若保险金申请人委托他人申请的，还应提供授权委托书原件，委托人和受托人的身份证明等相关文件；</w:t>
      </w:r>
    </w:p>
    <w:p>
      <w:pPr>
        <w:pStyle w:val="18"/>
        <w:spacing w:afterLines="50"/>
        <w:ind w:firstLine="420" w:firstLineChars="200"/>
        <w:rPr>
          <w:b w:val="0"/>
          <w:szCs w:val="21"/>
        </w:rPr>
      </w:pPr>
      <w:r>
        <w:rPr>
          <w:rFonts w:hint="eastAsia"/>
          <w:b w:val="0"/>
          <w:szCs w:val="21"/>
        </w:rPr>
        <w:t>（</w:t>
      </w:r>
      <w:r>
        <w:rPr>
          <w:b w:val="0"/>
          <w:szCs w:val="21"/>
        </w:rPr>
        <w:t>7</w:t>
      </w:r>
      <w:r>
        <w:rPr>
          <w:rFonts w:hint="eastAsia"/>
          <w:b w:val="0"/>
          <w:szCs w:val="21"/>
        </w:rPr>
        <w:t>）</w:t>
      </w:r>
      <w:r>
        <w:rPr>
          <w:rFonts w:hAnsi="宋体"/>
          <w:b w:val="0"/>
          <w:szCs w:val="21"/>
        </w:rPr>
        <w:t>保险金作为被保险人遗产时，必须提供可证明合法继承权的相关权利文件；</w:t>
      </w:r>
    </w:p>
    <w:p>
      <w:pPr>
        <w:pStyle w:val="18"/>
        <w:spacing w:afterLines="50"/>
        <w:ind w:firstLine="420" w:firstLineChars="200"/>
        <w:rPr>
          <w:b w:val="0"/>
          <w:szCs w:val="21"/>
        </w:rPr>
      </w:pPr>
      <w:r>
        <w:rPr>
          <w:rFonts w:hint="eastAsia"/>
          <w:b w:val="0"/>
          <w:szCs w:val="21"/>
        </w:rPr>
        <w:t>（</w:t>
      </w:r>
      <w:r>
        <w:rPr>
          <w:b w:val="0"/>
          <w:szCs w:val="21"/>
        </w:rPr>
        <w:t>8</w:t>
      </w:r>
      <w:r>
        <w:rPr>
          <w:rFonts w:hint="eastAsia"/>
          <w:b w:val="0"/>
        </w:rPr>
        <w:t>）</w:t>
      </w:r>
      <w:r>
        <w:rPr>
          <w:rFonts w:hAnsi="宋体"/>
          <w:b w:val="0"/>
          <w:szCs w:val="21"/>
        </w:rPr>
        <w:t>所能提供的与确认保险事故的性质、原因等有关的其他证明和资料。</w:t>
      </w:r>
    </w:p>
    <w:p>
      <w:pPr>
        <w:pStyle w:val="18"/>
        <w:spacing w:afterLines="50"/>
        <w:ind w:firstLine="422" w:firstLineChars="200"/>
        <w:outlineLvl w:val="0"/>
        <w:rPr>
          <w:szCs w:val="21"/>
        </w:rPr>
      </w:pPr>
      <w:r>
        <w:rPr>
          <w:rFonts w:hAnsi="宋体"/>
          <w:szCs w:val="21"/>
        </w:rPr>
        <w:t>（二）意外伤残保险金申请</w:t>
      </w:r>
    </w:p>
    <w:p>
      <w:pPr>
        <w:pStyle w:val="19"/>
        <w:spacing w:afterLines="50"/>
        <w:ind w:left="0" w:leftChars="0"/>
        <w:rPr>
          <w:szCs w:val="21"/>
        </w:rPr>
      </w:pPr>
      <w:r>
        <w:rPr>
          <w:rFonts w:hint="eastAsia"/>
          <w:szCs w:val="21"/>
        </w:rPr>
        <w:t>（</w:t>
      </w:r>
      <w:r>
        <w:rPr>
          <w:szCs w:val="21"/>
        </w:rPr>
        <w:t>1</w:t>
      </w:r>
      <w:r>
        <w:rPr>
          <w:rFonts w:hint="eastAsia" w:hAnsi="宋体"/>
          <w:szCs w:val="21"/>
        </w:rPr>
        <w:t>）</w:t>
      </w:r>
      <w:r>
        <w:rPr>
          <w:rFonts w:hAnsi="宋体"/>
          <w:szCs w:val="21"/>
        </w:rPr>
        <w:t>保险金给付申请书；</w:t>
      </w:r>
    </w:p>
    <w:p>
      <w:pPr>
        <w:pStyle w:val="19"/>
        <w:spacing w:afterLines="50"/>
        <w:ind w:left="0" w:leftChars="0"/>
        <w:rPr>
          <w:szCs w:val="21"/>
        </w:rPr>
      </w:pPr>
      <w:r>
        <w:rPr>
          <w:rFonts w:hint="eastAsia"/>
          <w:szCs w:val="21"/>
        </w:rPr>
        <w:t>（</w:t>
      </w:r>
      <w:r>
        <w:rPr>
          <w:szCs w:val="21"/>
        </w:rPr>
        <w:t>2</w:t>
      </w:r>
      <w:r>
        <w:rPr>
          <w:rFonts w:hint="eastAsia"/>
          <w:szCs w:val="21"/>
        </w:rPr>
        <w:t>）</w:t>
      </w:r>
      <w:r>
        <w:rPr>
          <w:rFonts w:hAnsi="宋体"/>
          <w:szCs w:val="21"/>
        </w:rPr>
        <w:t>保险单或其他保险凭证</w:t>
      </w:r>
      <w:r>
        <w:rPr>
          <w:rFonts w:hint="eastAsia" w:hAnsi="宋体"/>
          <w:szCs w:val="21"/>
        </w:rPr>
        <w:t>；</w:t>
      </w:r>
    </w:p>
    <w:p>
      <w:pPr>
        <w:pStyle w:val="19"/>
        <w:spacing w:afterLines="50"/>
        <w:ind w:left="0" w:leftChars="0"/>
        <w:rPr>
          <w:szCs w:val="21"/>
        </w:rPr>
      </w:pPr>
      <w:r>
        <w:rPr>
          <w:rFonts w:hint="eastAsia"/>
          <w:szCs w:val="21"/>
        </w:rPr>
        <w:t>（</w:t>
      </w:r>
      <w:r>
        <w:rPr>
          <w:szCs w:val="21"/>
        </w:rPr>
        <w:t>3</w:t>
      </w:r>
      <w:r>
        <w:rPr>
          <w:rFonts w:hint="eastAsia"/>
          <w:szCs w:val="21"/>
        </w:rPr>
        <w:t>）</w:t>
      </w:r>
      <w:r>
        <w:rPr>
          <w:rFonts w:hAnsi="宋体"/>
          <w:szCs w:val="21"/>
        </w:rPr>
        <w:t>被保险人的有效身份证件；</w:t>
      </w:r>
    </w:p>
    <w:p>
      <w:pPr>
        <w:pStyle w:val="19"/>
        <w:spacing w:afterLines="50"/>
        <w:ind w:left="0" w:leftChars="0"/>
        <w:rPr>
          <w:szCs w:val="21"/>
        </w:rPr>
      </w:pPr>
      <w:r>
        <w:rPr>
          <w:rFonts w:hint="eastAsia"/>
          <w:szCs w:val="21"/>
        </w:rPr>
        <w:t>（</w:t>
      </w:r>
      <w:r>
        <w:rPr>
          <w:szCs w:val="21"/>
        </w:rPr>
        <w:t>4</w:t>
      </w:r>
      <w:r>
        <w:rPr>
          <w:rFonts w:hint="eastAsia"/>
          <w:szCs w:val="21"/>
        </w:rPr>
        <w:t>）</w:t>
      </w:r>
      <w:r>
        <w:rPr>
          <w:rFonts w:hAnsi="宋体"/>
          <w:szCs w:val="21"/>
        </w:rPr>
        <w:t>意外伤害事故证明；</w:t>
      </w:r>
    </w:p>
    <w:p>
      <w:pPr>
        <w:pStyle w:val="19"/>
        <w:spacing w:afterLines="50"/>
        <w:ind w:left="0" w:leftChars="0"/>
        <w:rPr>
          <w:szCs w:val="21"/>
        </w:rPr>
      </w:pPr>
      <w:r>
        <w:rPr>
          <w:rFonts w:hint="eastAsia"/>
          <w:szCs w:val="21"/>
        </w:rPr>
        <w:t>（</w:t>
      </w:r>
      <w:r>
        <w:rPr>
          <w:szCs w:val="21"/>
        </w:rPr>
        <w:t>5</w:t>
      </w:r>
      <w:r>
        <w:rPr>
          <w:rFonts w:hint="eastAsia"/>
          <w:szCs w:val="21"/>
        </w:rPr>
        <w:t>）</w:t>
      </w:r>
      <w:r>
        <w:rPr>
          <w:rFonts w:hAnsi="宋体"/>
          <w:szCs w:val="21"/>
        </w:rPr>
        <w:t>由双方认可的医疗机构或具有鉴定资质的鉴定机构出具的被保险人伤残程度的资料及身体伤残程度评定书；</w:t>
      </w:r>
    </w:p>
    <w:p>
      <w:pPr>
        <w:pStyle w:val="19"/>
        <w:spacing w:afterLines="50"/>
        <w:ind w:left="0" w:leftChars="0"/>
        <w:rPr>
          <w:szCs w:val="21"/>
        </w:rPr>
      </w:pPr>
      <w:r>
        <w:rPr>
          <w:rFonts w:hint="eastAsia"/>
          <w:szCs w:val="21"/>
        </w:rPr>
        <w:t>（</w:t>
      </w:r>
      <w:r>
        <w:rPr>
          <w:szCs w:val="21"/>
        </w:rPr>
        <w:t>6</w:t>
      </w:r>
      <w:r>
        <w:rPr>
          <w:rFonts w:hint="eastAsia"/>
          <w:szCs w:val="21"/>
        </w:rPr>
        <w:t>）</w:t>
      </w:r>
      <w:r>
        <w:rPr>
          <w:rFonts w:hAnsi="宋体"/>
          <w:szCs w:val="21"/>
        </w:rPr>
        <w:t>若保险金申请人委托他人申请的，还应提供授权委托书原件，委托人和受托人的身份证明等相关文件；</w:t>
      </w:r>
    </w:p>
    <w:p>
      <w:pPr>
        <w:pStyle w:val="19"/>
        <w:spacing w:afterLines="50"/>
        <w:ind w:left="0" w:leftChars="0"/>
        <w:rPr>
          <w:szCs w:val="21"/>
        </w:rPr>
      </w:pPr>
      <w:r>
        <w:rPr>
          <w:rFonts w:hint="eastAsia"/>
          <w:szCs w:val="21"/>
        </w:rPr>
        <w:t>（</w:t>
      </w:r>
      <w:r>
        <w:rPr>
          <w:szCs w:val="21"/>
        </w:rPr>
        <w:t>7</w:t>
      </w:r>
      <w:r>
        <w:rPr>
          <w:rFonts w:hint="eastAsia"/>
          <w:szCs w:val="21"/>
        </w:rPr>
        <w:t>）</w:t>
      </w:r>
      <w:r>
        <w:rPr>
          <w:rFonts w:hAnsi="宋体"/>
          <w:szCs w:val="21"/>
        </w:rPr>
        <w:t>所能提供的与确认保险事故的性质、原因等有关的其他证明和资料。</w:t>
      </w:r>
    </w:p>
    <w:p>
      <w:pPr>
        <w:pStyle w:val="19"/>
        <w:numPr>
          <w:ilvl w:val="0"/>
          <w:numId w:val="2"/>
        </w:numPr>
        <w:spacing w:afterLines="50"/>
        <w:ind w:left="0" w:leftChars="0" w:firstLine="426" w:firstLineChars="0"/>
        <w:rPr>
          <w:szCs w:val="21"/>
        </w:rPr>
      </w:pPr>
      <w:r>
        <w:rPr>
          <w:rFonts w:hAnsi="宋体"/>
          <w:szCs w:val="21"/>
        </w:rPr>
        <w:t>保险金申请人向保险人请求给付保险金的诉讼时效期间为二年，自其知道或者应当知道保险事故发生之日起计算。</w:t>
      </w:r>
    </w:p>
    <w:p>
      <w:pPr>
        <w:adjustRightInd w:val="0"/>
        <w:snapToGrid w:val="0"/>
        <w:spacing w:afterLines="50"/>
        <w:ind w:firstLine="426"/>
        <w:jc w:val="center"/>
        <w:rPr>
          <w:b/>
          <w:szCs w:val="21"/>
        </w:rPr>
      </w:pPr>
    </w:p>
    <w:p>
      <w:pPr>
        <w:adjustRightInd w:val="0"/>
        <w:snapToGrid w:val="0"/>
        <w:spacing w:afterLines="50"/>
        <w:ind w:firstLine="426"/>
        <w:jc w:val="center"/>
        <w:rPr>
          <w:szCs w:val="21"/>
        </w:rPr>
      </w:pPr>
      <w:r>
        <w:rPr>
          <w:rFonts w:hAnsi="宋体"/>
          <w:b/>
          <w:szCs w:val="21"/>
        </w:rPr>
        <w:t>争议处理和法律适用</w:t>
      </w:r>
    </w:p>
    <w:p>
      <w:pPr>
        <w:pStyle w:val="19"/>
        <w:numPr>
          <w:ilvl w:val="0"/>
          <w:numId w:val="2"/>
        </w:numPr>
        <w:spacing w:afterLines="50"/>
        <w:ind w:left="0" w:leftChars="0" w:firstLine="426" w:firstLineChars="0"/>
        <w:rPr>
          <w:szCs w:val="21"/>
        </w:rPr>
      </w:pPr>
      <w:r>
        <w:rPr>
          <w:rFonts w:hAnsi="宋体"/>
          <w:szCs w:val="21"/>
        </w:rPr>
        <w:t>因履行本保险合同发生的争议，由当事人协商解决。协商不成的，提交保险单载明的仲裁机构仲裁；保险单未载明仲裁机构且争议发生后未达成仲裁协议的，依法向中华人民共和国人民法院起诉。</w:t>
      </w:r>
    </w:p>
    <w:p>
      <w:pPr>
        <w:pStyle w:val="19"/>
        <w:numPr>
          <w:ilvl w:val="0"/>
          <w:numId w:val="2"/>
        </w:numPr>
        <w:spacing w:afterLines="50"/>
        <w:ind w:left="0" w:leftChars="0" w:firstLine="426" w:firstLineChars="0"/>
        <w:rPr>
          <w:szCs w:val="21"/>
        </w:rPr>
      </w:pPr>
      <w:r>
        <w:rPr>
          <w:rFonts w:hAnsi="宋体"/>
          <w:szCs w:val="21"/>
        </w:rPr>
        <w:t>与本保险合同有关的以及履行本保险合同产生的一切争议处理适用中华人民共和国法律（不包括港、澳、台地区法律）。</w:t>
      </w:r>
    </w:p>
    <w:p>
      <w:pPr>
        <w:adjustRightInd w:val="0"/>
        <w:snapToGrid w:val="0"/>
        <w:spacing w:afterLines="50"/>
        <w:ind w:firstLine="426"/>
        <w:jc w:val="center"/>
        <w:rPr>
          <w:b/>
          <w:szCs w:val="21"/>
        </w:rPr>
      </w:pPr>
    </w:p>
    <w:p>
      <w:pPr>
        <w:adjustRightInd w:val="0"/>
        <w:snapToGrid w:val="0"/>
        <w:spacing w:afterLines="50"/>
        <w:ind w:firstLine="426"/>
        <w:jc w:val="center"/>
        <w:rPr>
          <w:b/>
          <w:szCs w:val="21"/>
        </w:rPr>
      </w:pPr>
      <w:r>
        <w:rPr>
          <w:rFonts w:hAnsi="宋体"/>
          <w:b/>
          <w:szCs w:val="21"/>
        </w:rPr>
        <w:t>其他事项</w:t>
      </w:r>
    </w:p>
    <w:p>
      <w:pPr>
        <w:pStyle w:val="19"/>
        <w:numPr>
          <w:ilvl w:val="0"/>
          <w:numId w:val="2"/>
        </w:numPr>
        <w:spacing w:afterLines="50"/>
        <w:ind w:left="0" w:leftChars="0" w:firstLine="426" w:firstLineChars="0"/>
        <w:rPr>
          <w:szCs w:val="21"/>
        </w:rPr>
      </w:pPr>
      <w:r>
        <w:rPr>
          <w:rFonts w:hAnsi="宋体"/>
          <w:szCs w:val="21"/>
        </w:rPr>
        <w:t>投保人和保险人可以协商变更合同内容。</w:t>
      </w:r>
    </w:p>
    <w:p>
      <w:pPr>
        <w:pStyle w:val="19"/>
        <w:spacing w:afterLines="50"/>
        <w:ind w:left="0" w:leftChars="0"/>
        <w:rPr>
          <w:szCs w:val="21"/>
        </w:rPr>
      </w:pPr>
      <w:r>
        <w:rPr>
          <w:rFonts w:hAnsi="宋体"/>
          <w:szCs w:val="21"/>
        </w:rPr>
        <w:t>变更保险合同的，应当由保险人在保险单或者其他保险凭证上批注或附贴批单，或者投保人和保险人订立变更的书面协议。</w:t>
      </w:r>
    </w:p>
    <w:p>
      <w:pPr>
        <w:pStyle w:val="26"/>
        <w:numPr>
          <w:ilvl w:val="0"/>
          <w:numId w:val="2"/>
        </w:numPr>
        <w:snapToGrid w:val="0"/>
        <w:spacing w:afterLines="50"/>
        <w:ind w:left="0" w:firstLine="426" w:firstLineChars="0"/>
        <w:rPr>
          <w:szCs w:val="21"/>
        </w:rPr>
      </w:pPr>
      <w:r>
        <w:rPr>
          <w:rFonts w:hAnsi="宋体"/>
          <w:szCs w:val="21"/>
        </w:rPr>
        <w:t>在本保险合同成立后，投保人可以书面形式通知保险人解除合同，但保险人已根据本保险合同约定给付保险金的除外。</w:t>
      </w:r>
    </w:p>
    <w:p>
      <w:pPr>
        <w:snapToGrid w:val="0"/>
        <w:spacing w:afterLines="50"/>
        <w:ind w:firstLine="426"/>
        <w:rPr>
          <w:szCs w:val="21"/>
        </w:rPr>
      </w:pPr>
      <w:r>
        <w:rPr>
          <w:rFonts w:hAnsi="宋体"/>
          <w:szCs w:val="21"/>
        </w:rPr>
        <w:t>保险责任开始前，投保人可随时书面通知保险人解除本保险合同，经保险人同意后，全额退还其已交付的保险费。</w:t>
      </w:r>
    </w:p>
    <w:p>
      <w:pPr>
        <w:snapToGrid w:val="0"/>
        <w:spacing w:afterLines="50"/>
        <w:ind w:firstLine="426"/>
      </w:pPr>
      <w:r>
        <w:rPr>
          <w:rFonts w:hAnsi="宋体"/>
          <w:szCs w:val="21"/>
        </w:rPr>
        <w:t>保险责任开始后，投保人要求解除本保险合同的，自保险人接到第二十五条所列证明文件和资料之时起，本保险合同终止。</w:t>
      </w:r>
      <w:r>
        <w:rPr>
          <w:rFonts w:hAnsi="宋体"/>
          <w:b/>
        </w:rPr>
        <w:t>保险人</w:t>
      </w:r>
      <w:r>
        <w:rPr>
          <w:rFonts w:hint="eastAsia" w:hAnsi="宋体"/>
          <w:b/>
        </w:rPr>
        <w:t>自收到解除合同申请书之日起三十日内向投保人退还未满期净保费。</w:t>
      </w:r>
    </w:p>
    <w:p>
      <w:pPr>
        <w:pStyle w:val="19"/>
        <w:numPr>
          <w:ilvl w:val="0"/>
          <w:numId w:val="2"/>
        </w:numPr>
        <w:spacing w:afterLines="50"/>
        <w:ind w:left="0" w:leftChars="0" w:firstLine="426" w:firstLineChars="0"/>
        <w:rPr>
          <w:szCs w:val="21"/>
        </w:rPr>
      </w:pPr>
      <w:r>
        <w:rPr>
          <w:rFonts w:hAnsi="宋体"/>
          <w:szCs w:val="21"/>
        </w:rPr>
        <w:t>投保人要求解除本保险合同时，应提供下列证明文件和资料：</w:t>
      </w:r>
    </w:p>
    <w:p>
      <w:pPr>
        <w:pStyle w:val="19"/>
        <w:spacing w:afterLines="50"/>
        <w:ind w:left="0" w:leftChars="0"/>
        <w:rPr>
          <w:szCs w:val="21"/>
        </w:rPr>
      </w:pPr>
      <w:r>
        <w:rPr>
          <w:rFonts w:hint="eastAsia"/>
          <w:szCs w:val="21"/>
        </w:rPr>
        <w:t>（一）</w:t>
      </w:r>
      <w:r>
        <w:rPr>
          <w:rFonts w:hAnsi="宋体"/>
          <w:szCs w:val="21"/>
        </w:rPr>
        <w:t>保险合同解除申请书；</w:t>
      </w:r>
    </w:p>
    <w:p>
      <w:pPr>
        <w:pStyle w:val="19"/>
        <w:spacing w:afterLines="50"/>
        <w:ind w:left="0" w:leftChars="0"/>
        <w:rPr>
          <w:szCs w:val="21"/>
        </w:rPr>
      </w:pPr>
      <w:r>
        <w:rPr>
          <w:rFonts w:hint="eastAsia"/>
          <w:szCs w:val="21"/>
        </w:rPr>
        <w:t>（二）</w:t>
      </w:r>
      <w:r>
        <w:rPr>
          <w:rFonts w:hAnsi="宋体"/>
          <w:szCs w:val="21"/>
        </w:rPr>
        <w:t>保险单或其他保险凭证；</w:t>
      </w:r>
    </w:p>
    <w:p>
      <w:pPr>
        <w:pStyle w:val="19"/>
        <w:spacing w:afterLines="50"/>
        <w:ind w:left="0" w:leftChars="0"/>
        <w:rPr>
          <w:szCs w:val="21"/>
        </w:rPr>
      </w:pPr>
      <w:r>
        <w:rPr>
          <w:rFonts w:hint="eastAsia"/>
          <w:szCs w:val="21"/>
        </w:rPr>
        <w:t>（三）</w:t>
      </w:r>
      <w:r>
        <w:rPr>
          <w:rFonts w:hAnsi="宋体"/>
          <w:szCs w:val="21"/>
        </w:rPr>
        <w:t>保险费交付凭证；</w:t>
      </w:r>
    </w:p>
    <w:p>
      <w:pPr>
        <w:pStyle w:val="19"/>
        <w:spacing w:afterLines="50"/>
        <w:ind w:left="0" w:leftChars="0"/>
        <w:rPr>
          <w:szCs w:val="21"/>
        </w:rPr>
      </w:pPr>
      <w:r>
        <w:rPr>
          <w:rFonts w:hint="eastAsia"/>
          <w:szCs w:val="21"/>
        </w:rPr>
        <w:t>（四</w:t>
      </w:r>
      <w:r>
        <w:rPr>
          <w:rFonts w:hint="eastAsia"/>
          <w:color w:val="222222"/>
          <w:szCs w:val="21"/>
        </w:rPr>
        <w:t>）</w:t>
      </w:r>
      <w:r>
        <w:rPr>
          <w:color w:val="222222"/>
          <w:szCs w:val="21"/>
        </w:rPr>
        <w:t>投保人的有效身份证件。</w:t>
      </w:r>
    </w:p>
    <w:p>
      <w:pPr>
        <w:pStyle w:val="4"/>
        <w:numPr>
          <w:ilvl w:val="0"/>
          <w:numId w:val="2"/>
        </w:numPr>
        <w:adjustRightInd w:val="0"/>
        <w:snapToGrid w:val="0"/>
        <w:spacing w:afterLines="50"/>
        <w:ind w:left="0" w:leftChars="0" w:firstLine="426"/>
        <w:rPr>
          <w:szCs w:val="21"/>
        </w:rPr>
      </w:pPr>
      <w:r>
        <w:rPr>
          <w:rFonts w:hAnsi="宋体"/>
          <w:szCs w:val="21"/>
        </w:rPr>
        <w:t>本保险合同涉及的外币与人民币的汇率，以保险事故发生当日中华人民共和国中国人民银行公布的外汇汇率为准。</w:t>
      </w:r>
    </w:p>
    <w:p>
      <w:pPr>
        <w:adjustRightInd w:val="0"/>
        <w:snapToGrid w:val="0"/>
        <w:spacing w:afterLines="50"/>
        <w:ind w:firstLine="426"/>
        <w:jc w:val="center"/>
        <w:rPr>
          <w:b/>
          <w:szCs w:val="21"/>
        </w:rPr>
      </w:pPr>
    </w:p>
    <w:p>
      <w:pPr>
        <w:adjustRightInd w:val="0"/>
        <w:snapToGrid w:val="0"/>
        <w:spacing w:afterLines="50"/>
        <w:ind w:firstLine="426"/>
        <w:jc w:val="center"/>
        <w:rPr>
          <w:b/>
          <w:szCs w:val="21"/>
        </w:rPr>
      </w:pPr>
      <w:r>
        <w:rPr>
          <w:rFonts w:hAnsi="宋体"/>
          <w:b/>
          <w:szCs w:val="21"/>
        </w:rPr>
        <w:t>释义</w:t>
      </w:r>
    </w:p>
    <w:p>
      <w:pPr>
        <w:pStyle w:val="26"/>
        <w:numPr>
          <w:ilvl w:val="0"/>
          <w:numId w:val="2"/>
        </w:numPr>
        <w:adjustRightInd w:val="0"/>
        <w:snapToGrid w:val="0"/>
        <w:spacing w:afterLines="50"/>
        <w:ind w:left="0" w:firstLine="426" w:firstLineChars="0"/>
        <w:rPr>
          <w:szCs w:val="21"/>
        </w:rPr>
      </w:pPr>
      <w:r>
        <w:rPr>
          <w:rFonts w:hAnsi="宋体"/>
          <w:szCs w:val="21"/>
        </w:rPr>
        <w:t>本保险合同涉及下列术语时，适用以下释义：</w:t>
      </w:r>
    </w:p>
    <w:p>
      <w:pPr>
        <w:pStyle w:val="8"/>
        <w:shd w:val="clear" w:color="auto" w:fill="FFFFFF"/>
        <w:adjustRightInd w:val="0"/>
        <w:snapToGrid w:val="0"/>
        <w:spacing w:beforeAutospacing="0" w:afterLines="50" w:afterAutospacing="0"/>
        <w:ind w:firstLine="426"/>
        <w:jc w:val="both"/>
        <w:rPr>
          <w:rFonts w:ascii="Times New Roman" w:hAnsi="Times New Roman" w:cs="Times New Roman"/>
        </w:rPr>
      </w:pPr>
      <w:r>
        <w:rPr>
          <w:rFonts w:ascii="Times New Roman" w:cs="Times New Roman"/>
          <w:color w:val="222222"/>
          <w:kern w:val="2"/>
          <w:sz w:val="21"/>
          <w:szCs w:val="21"/>
        </w:rPr>
        <w:t>【合法有效】本保险合同所指合法有效均以中华人民共和国法律</w:t>
      </w:r>
      <w:r>
        <w:rPr>
          <w:rFonts w:ascii="Times New Roman" w:cs="Times New Roman"/>
        </w:rPr>
        <w:t>（</w:t>
      </w:r>
      <w:r>
        <w:rPr>
          <w:rFonts w:ascii="Times New Roman" w:cs="Times New Roman"/>
          <w:color w:val="222222"/>
          <w:kern w:val="2"/>
          <w:sz w:val="21"/>
          <w:szCs w:val="21"/>
        </w:rPr>
        <w:t>不含港、澳、台地区法律，下同）、法规、行政法规、地方性法规、行政规章及有关规范性法律文件的规定为判定依据。</w:t>
      </w:r>
    </w:p>
    <w:p>
      <w:pPr>
        <w:autoSpaceDE w:val="0"/>
        <w:autoSpaceDN w:val="0"/>
        <w:snapToGrid w:val="0"/>
        <w:spacing w:afterLines="50"/>
        <w:ind w:firstLine="420" w:firstLineChars="200"/>
        <w:textAlignment w:val="bottom"/>
        <w:rPr>
          <w:rFonts w:hAnsi="宋体"/>
          <w:szCs w:val="21"/>
        </w:rPr>
      </w:pPr>
      <w:r>
        <w:rPr>
          <w:rFonts w:hAnsi="宋体"/>
          <w:szCs w:val="21"/>
        </w:rPr>
        <w:t>【保险人】指泰康在线财产保险股份有限公司。</w:t>
      </w:r>
    </w:p>
    <w:p>
      <w:pPr>
        <w:adjustRightInd w:val="0"/>
        <w:snapToGrid w:val="0"/>
        <w:spacing w:afterLines="50"/>
        <w:ind w:firstLine="411" w:firstLineChars="196"/>
        <w:rPr>
          <w:szCs w:val="21"/>
        </w:rPr>
      </w:pPr>
      <w:r>
        <w:rPr>
          <w:rFonts w:hAnsi="宋体"/>
          <w:szCs w:val="21"/>
        </w:rPr>
        <w:t>【旅行】指为旅游、商务、探亲等目的离开被保险人常住地的行为。</w:t>
      </w:r>
    </w:p>
    <w:p>
      <w:pPr>
        <w:autoSpaceDE w:val="0"/>
        <w:autoSpaceDN w:val="0"/>
        <w:snapToGrid w:val="0"/>
        <w:spacing w:afterLines="50"/>
        <w:ind w:firstLine="420" w:firstLineChars="200"/>
        <w:textAlignment w:val="bottom"/>
        <w:rPr>
          <w:szCs w:val="21"/>
        </w:rPr>
      </w:pPr>
      <w:r>
        <w:rPr>
          <w:rFonts w:hAnsi="宋体"/>
          <w:szCs w:val="21"/>
        </w:rPr>
        <w:t>【意外伤害】</w:t>
      </w:r>
      <w:r>
        <w:rPr>
          <w:color w:val="222222"/>
          <w:szCs w:val="21"/>
        </w:rPr>
        <w:t>指外来的、突然的、非本意的、非疾病的使被保险人身体受到伤害的客观事件，并以此客观事件为直接且单独原因导致被保险人身体蒙受伤害或者身故，</w:t>
      </w:r>
      <w:r>
        <w:rPr>
          <w:b/>
          <w:bCs/>
          <w:color w:val="222222"/>
          <w:szCs w:val="21"/>
        </w:rPr>
        <w:t>猝死、自杀以及自伤均不属于意外伤害。</w:t>
      </w:r>
    </w:p>
    <w:p>
      <w:pPr>
        <w:autoSpaceDE w:val="0"/>
        <w:autoSpaceDN w:val="0"/>
        <w:snapToGrid w:val="0"/>
        <w:spacing w:afterLines="50"/>
        <w:ind w:firstLine="420" w:firstLineChars="200"/>
        <w:textAlignment w:val="bottom"/>
        <w:rPr>
          <w:szCs w:val="21"/>
        </w:rPr>
      </w:pPr>
      <w:r>
        <w:rPr>
          <w:rFonts w:hAnsi="宋体"/>
          <w:szCs w:val="21"/>
        </w:rPr>
        <w:t>【猝死】指</w:t>
      </w:r>
      <w:r>
        <w:rPr>
          <w:rFonts w:hint="eastAsia" w:cs="Arial Unicode MS"/>
          <w:color w:val="222222"/>
          <w:szCs w:val="21"/>
        </w:rPr>
        <w:t>表面健康的人因潜在疾病、机能障碍或者其他原因在出现症状后24小时内发生的非暴力性突然死亡。猝死的认定以医疗机构的诊断和公安部门的鉴定为准。</w:t>
      </w:r>
    </w:p>
    <w:p>
      <w:pPr>
        <w:autoSpaceDE w:val="0"/>
        <w:autoSpaceDN w:val="0"/>
        <w:snapToGrid w:val="0"/>
        <w:spacing w:afterLines="50"/>
        <w:ind w:firstLine="420" w:firstLineChars="200"/>
        <w:textAlignment w:val="bottom"/>
        <w:rPr>
          <w:szCs w:val="21"/>
        </w:rPr>
      </w:pPr>
      <w:r>
        <w:rPr>
          <w:rFonts w:hAnsi="宋体"/>
          <w:szCs w:val="21"/>
        </w:rPr>
        <w:t>【恐怖活动】指任何人或团体因政治、宗教、意识形态或类似目的，通过武力、暴力威胁表示或其它方式，意图影响政府、公众或令其恐慌所采取的任何行动或以任何方式控制、阻止或压制所引致损害的行为。</w:t>
      </w:r>
    </w:p>
    <w:p>
      <w:pPr>
        <w:autoSpaceDE w:val="0"/>
        <w:autoSpaceDN w:val="0"/>
        <w:snapToGrid w:val="0"/>
        <w:spacing w:afterLines="50"/>
        <w:ind w:firstLine="420" w:firstLineChars="200"/>
        <w:textAlignment w:val="bottom"/>
        <w:rPr>
          <w:szCs w:val="21"/>
        </w:rPr>
      </w:pPr>
      <w:r>
        <w:rPr>
          <w:rFonts w:hAnsi="宋体"/>
          <w:szCs w:val="21"/>
        </w:rPr>
        <w:t>【醉酒】每</w:t>
      </w:r>
      <w:r>
        <w:rPr>
          <w:szCs w:val="21"/>
        </w:rPr>
        <w:t>100</w:t>
      </w:r>
      <w:r>
        <w:rPr>
          <w:rFonts w:hAnsi="宋体"/>
          <w:szCs w:val="21"/>
        </w:rPr>
        <w:t>毫升血液中酒精含量达到和超过</w:t>
      </w:r>
      <w:r>
        <w:rPr>
          <w:szCs w:val="21"/>
        </w:rPr>
        <w:t>80</w:t>
      </w:r>
      <w:r>
        <w:rPr>
          <w:rFonts w:hAnsi="宋体"/>
          <w:szCs w:val="21"/>
        </w:rPr>
        <w:t>毫克即为醉酒。</w:t>
      </w:r>
    </w:p>
    <w:p>
      <w:pPr>
        <w:autoSpaceDE w:val="0"/>
        <w:autoSpaceDN w:val="0"/>
        <w:snapToGrid w:val="0"/>
        <w:spacing w:afterLines="50"/>
        <w:ind w:firstLine="420" w:firstLineChars="200"/>
        <w:textAlignment w:val="bottom"/>
        <w:rPr>
          <w:szCs w:val="21"/>
        </w:rPr>
      </w:pPr>
      <w:r>
        <w:rPr>
          <w:rFonts w:hAnsi="宋体"/>
          <w:szCs w:val="21"/>
        </w:rPr>
        <w:t>【毒品】指《中华人民共和国刑法》规定的鸦片、海洛因、甲基苯丙胺（冰毒）、吗啡、大麻、可卡因以及国家规定管制的其他能够使人形成瘾癖的麻醉药品和精神药。</w:t>
      </w:r>
    </w:p>
    <w:p>
      <w:pPr>
        <w:autoSpaceDE w:val="0"/>
        <w:autoSpaceDN w:val="0"/>
        <w:snapToGrid w:val="0"/>
        <w:spacing w:afterLines="50"/>
        <w:ind w:firstLine="420" w:firstLineChars="200"/>
        <w:textAlignment w:val="bottom"/>
        <w:rPr>
          <w:szCs w:val="21"/>
        </w:rPr>
      </w:pPr>
      <w:r>
        <w:rPr>
          <w:rFonts w:hAnsi="宋体"/>
          <w:szCs w:val="21"/>
        </w:rPr>
        <w:t>【酒后驾驶】指经检测或鉴定，发生事故时车辆驾驶人员每百毫升血液中的酒精含量达到或超过一定的标准，公安机关交通管理部门依据《道路交通安全法》的规定认定为饮酒后驾驶或醉酒后驾驶。</w:t>
      </w:r>
    </w:p>
    <w:p>
      <w:pPr>
        <w:autoSpaceDE w:val="0"/>
        <w:autoSpaceDN w:val="0"/>
        <w:snapToGrid w:val="0"/>
        <w:spacing w:afterLines="50"/>
        <w:ind w:firstLine="420" w:firstLineChars="200"/>
        <w:textAlignment w:val="bottom"/>
        <w:rPr>
          <w:szCs w:val="21"/>
        </w:rPr>
      </w:pPr>
      <w:r>
        <w:rPr>
          <w:rFonts w:hAnsi="宋体"/>
          <w:szCs w:val="21"/>
        </w:rPr>
        <w:t>【无有效驾驶证】被保险人存在下列情形之一者：无驾驶证或驾驶证有效期已届满；驾驶的机动车与驾驶证载明的准驾车型不符；实习期内驾驶公共汽车、营运客车或者载有爆炸物品、易燃易爆化学物品、剧毒或者放射性等危险物品的机动车，实习期内驾驶的机动车牵引挂车；持未按规定审验的驾驶证，以及在暂扣、扣留、吊销、注销驾驶证期间驾驶机动车；使用各种专用机械车、特种车的人员无国家有关部门核发的有效操作证，驾驶营业性客车的驾驶人无国家有关部门核发的有效资格证书；依照法律法规或公安机关交通管理部门有关规定不允许驾驶机动车的情况下驾车。</w:t>
      </w:r>
    </w:p>
    <w:p>
      <w:pPr>
        <w:autoSpaceDE w:val="0"/>
        <w:autoSpaceDN w:val="0"/>
        <w:snapToGrid w:val="0"/>
        <w:spacing w:afterLines="50"/>
        <w:ind w:firstLine="420" w:firstLineChars="200"/>
        <w:textAlignment w:val="bottom"/>
        <w:rPr>
          <w:szCs w:val="21"/>
        </w:rPr>
      </w:pPr>
      <w:r>
        <w:rPr>
          <w:rFonts w:hAnsi="宋体"/>
          <w:szCs w:val="21"/>
        </w:rPr>
        <w:t>【</w:t>
      </w:r>
      <w:r>
        <w:rPr>
          <w:rFonts w:hAnsi="宋体"/>
          <w:color w:val="222222"/>
        </w:rPr>
        <w:t>无合法有效行驶证</w:t>
      </w:r>
      <w:r>
        <w:rPr>
          <w:rFonts w:hAnsi="宋体"/>
          <w:szCs w:val="21"/>
        </w:rPr>
        <w:t>】指下列情形之一：机动车被依法注销登记的；无公安机关交通管理部门核发的行驶证、号牌，或临时号牌或临时移动证的机动交通工具；未在规定检验期限内进行机动车安全技术检验或检验未通过的机动交通工具。未依法按时进行或通过机动车安全技术检验。</w:t>
      </w:r>
    </w:p>
    <w:p>
      <w:pPr>
        <w:widowControl/>
        <w:spacing w:afterLines="50"/>
        <w:ind w:firstLine="420" w:firstLineChars="200"/>
        <w:jc w:val="left"/>
        <w:rPr>
          <w:szCs w:val="21"/>
        </w:rPr>
      </w:pPr>
      <w:r>
        <w:rPr>
          <w:rFonts w:hAnsi="宋体"/>
          <w:szCs w:val="21"/>
        </w:rPr>
        <w:t>【机动车】指以动力装置驱动或者牵引，上道路行驶的供人员乘用或者用于运送物品以及进行工程专项作业的轮式车辆。</w:t>
      </w:r>
    </w:p>
    <w:p>
      <w:pPr>
        <w:snapToGrid w:val="0"/>
        <w:spacing w:afterLines="50"/>
        <w:ind w:firstLine="420" w:firstLineChars="200"/>
        <w:rPr>
          <w:szCs w:val="21"/>
        </w:rPr>
      </w:pPr>
      <w:r>
        <w:rPr>
          <w:rFonts w:hAnsi="宋体"/>
          <w:szCs w:val="21"/>
        </w:rPr>
        <w:t>【高风险运动】指跳伞、潜水、攀岩、探险活动等较一般常规性运动风险等级更高的休闲娱乐性运动。</w:t>
      </w:r>
    </w:p>
    <w:p>
      <w:pPr>
        <w:snapToGrid w:val="0"/>
        <w:spacing w:afterLines="50"/>
        <w:ind w:firstLine="420" w:firstLineChars="200"/>
        <w:rPr>
          <w:szCs w:val="21"/>
        </w:rPr>
      </w:pPr>
      <w:r>
        <w:rPr>
          <w:rFonts w:hAnsi="宋体"/>
          <w:szCs w:val="21"/>
        </w:rPr>
        <w:t>【医疗机构】中华人民共和国境内（不包括香港、澳门以及台湾地区）的医疗机构是指卫生部二级或二级以上的公立医院；中华人民共和国境外的医疗机构需要符合下述条件：</w:t>
      </w:r>
    </w:p>
    <w:p>
      <w:pPr>
        <w:pStyle w:val="8"/>
        <w:shd w:val="clear" w:color="auto" w:fill="FFFFFF"/>
        <w:adjustRightInd w:val="0"/>
        <w:snapToGrid w:val="0"/>
        <w:spacing w:beforeAutospacing="0" w:afterLines="50" w:afterAutospacing="0"/>
        <w:ind w:firstLine="420" w:firstLineChars="200"/>
        <w:jc w:val="both"/>
        <w:outlineLvl w:val="0"/>
        <w:rPr>
          <w:rFonts w:ascii="Times New Roman" w:hAnsi="Times New Roman" w:cs="Times New Roman" w:eastAsiaTheme="minorEastAsia"/>
          <w:color w:val="222222"/>
          <w:kern w:val="2"/>
          <w:sz w:val="21"/>
          <w:szCs w:val="21"/>
        </w:rPr>
      </w:pPr>
      <w:r>
        <w:rPr>
          <w:rFonts w:ascii="Times New Roman" w:cs="Times New Roman" w:hAnsiTheme="minorEastAsia" w:eastAsiaTheme="minorEastAsia"/>
          <w:color w:val="222222"/>
          <w:kern w:val="2"/>
          <w:sz w:val="21"/>
          <w:szCs w:val="21"/>
        </w:rPr>
        <w:t>（</w:t>
      </w:r>
      <w:r>
        <w:rPr>
          <w:rFonts w:hint="eastAsia" w:ascii="Times New Roman" w:cs="Times New Roman" w:hAnsiTheme="minorEastAsia" w:eastAsiaTheme="minorEastAsia"/>
          <w:color w:val="222222"/>
          <w:kern w:val="2"/>
          <w:sz w:val="21"/>
          <w:szCs w:val="21"/>
        </w:rPr>
        <w:t>一</w:t>
      </w:r>
      <w:r>
        <w:rPr>
          <w:rFonts w:ascii="Times New Roman" w:cs="Times New Roman" w:hAnsiTheme="minorEastAsia" w:eastAsiaTheme="minorEastAsia"/>
          <w:color w:val="222222"/>
          <w:kern w:val="2"/>
          <w:sz w:val="21"/>
          <w:szCs w:val="21"/>
        </w:rPr>
        <w:t>）拥有合法经营执照；</w:t>
      </w:r>
    </w:p>
    <w:p>
      <w:pPr>
        <w:pStyle w:val="8"/>
        <w:shd w:val="clear" w:color="auto" w:fill="FFFFFF"/>
        <w:adjustRightInd w:val="0"/>
        <w:snapToGrid w:val="0"/>
        <w:spacing w:beforeAutospacing="0" w:afterLines="50" w:afterAutospacing="0"/>
        <w:ind w:firstLine="420" w:firstLineChars="200"/>
        <w:jc w:val="both"/>
        <w:rPr>
          <w:rFonts w:ascii="Times New Roman" w:hAnsi="Times New Roman" w:cs="Times New Roman" w:eastAsiaTheme="minorEastAsia"/>
          <w:color w:val="222222"/>
          <w:kern w:val="2"/>
          <w:sz w:val="21"/>
          <w:szCs w:val="21"/>
        </w:rPr>
      </w:pPr>
      <w:r>
        <w:rPr>
          <w:rFonts w:ascii="Times New Roman" w:cs="Times New Roman" w:hAnsiTheme="minorEastAsia" w:eastAsiaTheme="minorEastAsia"/>
          <w:color w:val="222222"/>
          <w:kern w:val="2"/>
          <w:sz w:val="21"/>
          <w:szCs w:val="21"/>
        </w:rPr>
        <w:t>（</w:t>
      </w:r>
      <w:r>
        <w:rPr>
          <w:rFonts w:hint="eastAsia" w:ascii="Times New Roman" w:cs="Times New Roman" w:hAnsiTheme="minorEastAsia" w:eastAsiaTheme="minorEastAsia"/>
          <w:color w:val="222222"/>
          <w:kern w:val="2"/>
          <w:sz w:val="21"/>
          <w:szCs w:val="21"/>
        </w:rPr>
        <w:t>二</w:t>
      </w:r>
      <w:r>
        <w:rPr>
          <w:rFonts w:ascii="Times New Roman" w:cs="Times New Roman" w:hAnsiTheme="minorEastAsia" w:eastAsiaTheme="minorEastAsia"/>
          <w:color w:val="222222"/>
          <w:kern w:val="2"/>
          <w:sz w:val="21"/>
          <w:szCs w:val="21"/>
        </w:rPr>
        <w:t>）设立的主要目的为向受伤者和患病者提供留院治疗和护理服务；</w:t>
      </w:r>
    </w:p>
    <w:p>
      <w:pPr>
        <w:pStyle w:val="8"/>
        <w:shd w:val="clear" w:color="auto" w:fill="FFFFFF"/>
        <w:adjustRightInd w:val="0"/>
        <w:snapToGrid w:val="0"/>
        <w:spacing w:beforeAutospacing="0" w:afterLines="50" w:afterAutospacing="0"/>
        <w:ind w:firstLine="420" w:firstLineChars="200"/>
        <w:jc w:val="both"/>
        <w:outlineLvl w:val="0"/>
        <w:rPr>
          <w:rFonts w:ascii="Times New Roman" w:hAnsi="Times New Roman" w:cs="Times New Roman" w:eastAsiaTheme="minorEastAsia"/>
          <w:color w:val="222222"/>
          <w:kern w:val="2"/>
          <w:sz w:val="21"/>
          <w:szCs w:val="21"/>
        </w:rPr>
      </w:pPr>
      <w:r>
        <w:rPr>
          <w:rFonts w:ascii="Times New Roman" w:cs="Times New Roman" w:hAnsiTheme="minorEastAsia" w:eastAsiaTheme="minorEastAsia"/>
          <w:color w:val="222222"/>
          <w:kern w:val="2"/>
          <w:sz w:val="21"/>
          <w:szCs w:val="21"/>
        </w:rPr>
        <w:t>（</w:t>
      </w:r>
      <w:r>
        <w:rPr>
          <w:rFonts w:hint="eastAsia" w:ascii="Times New Roman" w:cs="Times New Roman" w:hAnsiTheme="minorEastAsia" w:eastAsiaTheme="minorEastAsia"/>
          <w:color w:val="222222"/>
          <w:kern w:val="2"/>
          <w:sz w:val="21"/>
          <w:szCs w:val="21"/>
        </w:rPr>
        <w:t>三</w:t>
      </w:r>
      <w:r>
        <w:rPr>
          <w:rFonts w:ascii="Times New Roman" w:cs="Times New Roman" w:hAnsiTheme="minorEastAsia" w:eastAsiaTheme="minorEastAsia"/>
          <w:color w:val="222222"/>
          <w:kern w:val="2"/>
          <w:sz w:val="21"/>
          <w:szCs w:val="21"/>
        </w:rPr>
        <w:t>）有合格的医生和护士提供全日二十四小时的医疗和护理服务；</w:t>
      </w:r>
    </w:p>
    <w:p>
      <w:pPr>
        <w:snapToGrid w:val="0"/>
        <w:spacing w:afterLines="50"/>
        <w:ind w:firstLine="422" w:firstLineChars="200"/>
        <w:rPr>
          <w:b/>
          <w:szCs w:val="21"/>
        </w:rPr>
      </w:pPr>
      <w:r>
        <w:rPr>
          <w:rFonts w:hAnsiTheme="minorEastAsia" w:eastAsiaTheme="minorEastAsia"/>
          <w:b/>
          <w:color w:val="222222"/>
          <w:szCs w:val="21"/>
        </w:rPr>
        <w:t>（</w:t>
      </w:r>
      <w:r>
        <w:rPr>
          <w:rFonts w:hint="eastAsia" w:hAnsiTheme="minorEastAsia" w:eastAsiaTheme="minorEastAsia"/>
          <w:b/>
          <w:color w:val="222222"/>
          <w:szCs w:val="21"/>
        </w:rPr>
        <w:t>四</w:t>
      </w:r>
      <w:r>
        <w:rPr>
          <w:rFonts w:hAnsiTheme="minorEastAsia" w:eastAsiaTheme="minorEastAsia"/>
          <w:b/>
          <w:color w:val="222222"/>
          <w:szCs w:val="21"/>
        </w:rPr>
        <w:t>）非主要作为康复医院、护理、疗养、戒酒、戒毒或者类似的医疗机构。</w:t>
      </w:r>
    </w:p>
    <w:p>
      <w:pPr>
        <w:autoSpaceDE w:val="0"/>
        <w:autoSpaceDN w:val="0"/>
        <w:snapToGrid w:val="0"/>
        <w:spacing w:afterLines="50"/>
        <w:ind w:firstLine="420" w:firstLineChars="200"/>
        <w:textAlignment w:val="bottom"/>
        <w:rPr>
          <w:szCs w:val="21"/>
        </w:rPr>
      </w:pPr>
      <w:r>
        <w:rPr>
          <w:rFonts w:hAnsi="宋体"/>
          <w:szCs w:val="21"/>
        </w:rPr>
        <w:t>【住所】指下述处所：</w:t>
      </w:r>
      <w:r>
        <w:rPr>
          <w:szCs w:val="21"/>
        </w:rPr>
        <w:t xml:space="preserve"> </w:t>
      </w:r>
    </w:p>
    <w:p>
      <w:pPr>
        <w:autoSpaceDE w:val="0"/>
        <w:autoSpaceDN w:val="0"/>
        <w:snapToGrid w:val="0"/>
        <w:spacing w:afterLines="50"/>
        <w:ind w:firstLine="420" w:firstLineChars="200"/>
        <w:textAlignment w:val="bottom"/>
        <w:rPr>
          <w:szCs w:val="21"/>
        </w:rPr>
      </w:pPr>
      <w:r>
        <w:rPr>
          <w:rFonts w:hAnsi="宋体"/>
          <w:szCs w:val="21"/>
        </w:rPr>
        <w:t>（一）被保险人的户籍所在地；</w:t>
      </w:r>
      <w:r>
        <w:rPr>
          <w:szCs w:val="21"/>
        </w:rPr>
        <w:t xml:space="preserve"> </w:t>
      </w:r>
    </w:p>
    <w:p>
      <w:pPr>
        <w:autoSpaceDE w:val="0"/>
        <w:autoSpaceDN w:val="0"/>
        <w:snapToGrid w:val="0"/>
        <w:spacing w:afterLines="50"/>
        <w:ind w:firstLine="420" w:firstLineChars="200"/>
        <w:textAlignment w:val="bottom"/>
        <w:rPr>
          <w:szCs w:val="21"/>
        </w:rPr>
      </w:pPr>
      <w:r>
        <w:rPr>
          <w:rFonts w:hAnsi="宋体"/>
          <w:szCs w:val="21"/>
        </w:rPr>
        <w:t>（二）现居住所在地且居住已满三个月者；</w:t>
      </w:r>
      <w:r>
        <w:rPr>
          <w:szCs w:val="21"/>
        </w:rPr>
        <w:t xml:space="preserve"> </w:t>
      </w:r>
    </w:p>
    <w:p>
      <w:pPr>
        <w:autoSpaceDE w:val="0"/>
        <w:autoSpaceDN w:val="0"/>
        <w:snapToGrid w:val="0"/>
        <w:spacing w:afterLines="50"/>
        <w:ind w:firstLine="420" w:firstLineChars="200"/>
        <w:textAlignment w:val="bottom"/>
        <w:rPr>
          <w:szCs w:val="21"/>
        </w:rPr>
      </w:pPr>
      <w:r>
        <w:rPr>
          <w:rFonts w:hAnsi="宋体"/>
          <w:szCs w:val="21"/>
        </w:rPr>
        <w:t>（三）现居住所在地虽居住未满三个月，但有房屋买卖合同、租赁合同或在学住宿证明或其它文件，足以确认被保险人将继续居住满三个月以上者。</w:t>
      </w:r>
      <w:r>
        <w:rPr>
          <w:szCs w:val="21"/>
        </w:rPr>
        <w:t xml:space="preserve"> </w:t>
      </w:r>
    </w:p>
    <w:p>
      <w:pPr>
        <w:autoSpaceDE w:val="0"/>
        <w:autoSpaceDN w:val="0"/>
        <w:snapToGrid w:val="0"/>
        <w:spacing w:afterLines="50"/>
        <w:ind w:firstLine="420" w:firstLineChars="200"/>
        <w:textAlignment w:val="bottom"/>
        <w:rPr>
          <w:szCs w:val="21"/>
        </w:rPr>
      </w:pPr>
      <w:r>
        <w:rPr>
          <w:rFonts w:hAnsi="宋体"/>
          <w:szCs w:val="21"/>
        </w:rPr>
        <w:t>被保险人暂时性离开现居住所在地者，不影响前项「三个月」期间的计算。</w:t>
      </w:r>
    </w:p>
    <w:p>
      <w:pPr>
        <w:widowControl/>
        <w:spacing w:afterLines="50"/>
        <w:ind w:firstLine="420" w:firstLineChars="200"/>
        <w:jc w:val="left"/>
        <w:rPr>
          <w:szCs w:val="21"/>
        </w:rPr>
      </w:pPr>
      <w:r>
        <w:rPr>
          <w:rFonts w:hAnsi="宋体"/>
          <w:szCs w:val="21"/>
        </w:rPr>
        <w:t>【不可抗力】指不能预见、不能避免并不能克服的客观情况。</w:t>
      </w:r>
    </w:p>
    <w:p>
      <w:pPr>
        <w:spacing w:afterLines="50"/>
        <w:ind w:firstLine="420" w:firstLineChars="200"/>
        <w:rPr>
          <w:color w:val="222222"/>
          <w:szCs w:val="21"/>
        </w:rPr>
      </w:pPr>
      <w:r>
        <w:rPr>
          <w:color w:val="222222"/>
          <w:szCs w:val="21"/>
        </w:rPr>
        <w:t>【保险金申请人】指受益人或被保险人的继承人或其他依法享有保险金请求权的人。</w:t>
      </w:r>
    </w:p>
    <w:p>
      <w:pPr>
        <w:spacing w:afterLines="50"/>
        <w:ind w:firstLine="420" w:firstLineChars="200"/>
        <w:rPr>
          <w:color w:val="222222"/>
          <w:szCs w:val="21"/>
        </w:rPr>
      </w:pPr>
      <w:r>
        <w:rPr>
          <w:rFonts w:hint="eastAsia"/>
          <w:color w:val="222222"/>
          <w:szCs w:val="21"/>
        </w:rPr>
        <w:t>【未满期净保费】未满期净保险费=保险费×[1-(保险单已经过天数/保险期间天数)] ×（1-30%）</w:t>
      </w:r>
    </w:p>
    <w:p>
      <w:pPr>
        <w:spacing w:afterLines="50"/>
        <w:ind w:firstLine="420" w:firstLineChars="200"/>
        <w:rPr>
          <w:color w:val="222222"/>
          <w:szCs w:val="21"/>
        </w:rPr>
      </w:pPr>
      <w:r>
        <w:rPr>
          <w:rFonts w:hint="eastAsia"/>
          <w:color w:val="222222"/>
          <w:szCs w:val="21"/>
        </w:rPr>
        <w:t>经过天数不足一天的按一天计算。若本合同已发生保险金给付，未满期净保险费为零。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43EEB"/>
    <w:multiLevelType w:val="multilevel"/>
    <w:tmpl w:val="0FA43EEB"/>
    <w:lvl w:ilvl="0" w:tentative="0">
      <w:start w:val="1"/>
      <w:numFmt w:val="japaneseCounting"/>
      <w:lvlText w:val="第%1条"/>
      <w:lvlJc w:val="left"/>
      <w:pPr>
        <w:ind w:left="864" w:hanging="420"/>
      </w:pPr>
      <w:rPr>
        <w:rFonts w:hint="default" w:hAnsi="宋体"/>
        <w:b/>
      </w:rPr>
    </w:lvl>
    <w:lvl w:ilvl="1" w:tentative="0">
      <w:start w:val="1"/>
      <w:numFmt w:val="lowerLetter"/>
      <w:lvlText w:val="%2)"/>
      <w:lvlJc w:val="left"/>
      <w:pPr>
        <w:ind w:left="1284" w:hanging="420"/>
      </w:pPr>
    </w:lvl>
    <w:lvl w:ilvl="2" w:tentative="0">
      <w:start w:val="1"/>
      <w:numFmt w:val="lowerRoman"/>
      <w:lvlText w:val="%3."/>
      <w:lvlJc w:val="right"/>
      <w:pPr>
        <w:ind w:left="1704" w:hanging="420"/>
      </w:pPr>
    </w:lvl>
    <w:lvl w:ilvl="3" w:tentative="0">
      <w:start w:val="1"/>
      <w:numFmt w:val="decimal"/>
      <w:lvlText w:val="%4."/>
      <w:lvlJc w:val="left"/>
      <w:pPr>
        <w:ind w:left="2124" w:hanging="420"/>
      </w:pPr>
    </w:lvl>
    <w:lvl w:ilvl="4" w:tentative="0">
      <w:start w:val="1"/>
      <w:numFmt w:val="lowerLetter"/>
      <w:lvlText w:val="%5)"/>
      <w:lvlJc w:val="left"/>
      <w:pPr>
        <w:ind w:left="2544" w:hanging="420"/>
      </w:pPr>
    </w:lvl>
    <w:lvl w:ilvl="5" w:tentative="0">
      <w:start w:val="1"/>
      <w:numFmt w:val="lowerRoman"/>
      <w:lvlText w:val="%6."/>
      <w:lvlJc w:val="right"/>
      <w:pPr>
        <w:ind w:left="2964" w:hanging="420"/>
      </w:pPr>
    </w:lvl>
    <w:lvl w:ilvl="6" w:tentative="0">
      <w:start w:val="1"/>
      <w:numFmt w:val="decimal"/>
      <w:lvlText w:val="%7."/>
      <w:lvlJc w:val="left"/>
      <w:pPr>
        <w:ind w:left="3384" w:hanging="420"/>
      </w:pPr>
    </w:lvl>
    <w:lvl w:ilvl="7" w:tentative="0">
      <w:start w:val="1"/>
      <w:numFmt w:val="lowerLetter"/>
      <w:lvlText w:val="%8)"/>
      <w:lvlJc w:val="left"/>
      <w:pPr>
        <w:ind w:left="3804" w:hanging="420"/>
      </w:pPr>
    </w:lvl>
    <w:lvl w:ilvl="8" w:tentative="0">
      <w:start w:val="1"/>
      <w:numFmt w:val="lowerRoman"/>
      <w:lvlText w:val="%9."/>
      <w:lvlJc w:val="right"/>
      <w:pPr>
        <w:ind w:left="4224" w:hanging="420"/>
      </w:pPr>
    </w:lvl>
  </w:abstractNum>
  <w:abstractNum w:abstractNumId="1">
    <w:nsid w:val="7DC257A0"/>
    <w:multiLevelType w:val="multilevel"/>
    <w:tmpl w:val="7DC257A0"/>
    <w:lvl w:ilvl="0" w:tentative="0">
      <w:start w:val="1"/>
      <w:numFmt w:val="chineseCountingThousand"/>
      <w:pStyle w:val="20"/>
      <w:suff w:val="nothing"/>
      <w:lvlText w:val="第%1条    "/>
      <w:lvlJc w:val="left"/>
      <w:pPr>
        <w:ind w:left="6" w:firstLine="420"/>
      </w:pPr>
      <w:rPr>
        <w:rFonts w:hint="eastAsia"/>
        <w:b/>
        <w:bCs/>
        <w:color w:val="auto"/>
        <w:sz w:val="21"/>
        <w:szCs w:val="21"/>
      </w:rPr>
    </w:lvl>
    <w:lvl w:ilvl="1" w:tentative="0">
      <w:start w:val="1"/>
      <w:numFmt w:val="lowerLetter"/>
      <w:lvlText w:val="%2)"/>
      <w:lvlJc w:val="left"/>
      <w:pPr>
        <w:ind w:left="-583" w:hanging="420"/>
      </w:pPr>
    </w:lvl>
    <w:lvl w:ilvl="2" w:tentative="0">
      <w:start w:val="1"/>
      <w:numFmt w:val="lowerRoman"/>
      <w:lvlText w:val="%3."/>
      <w:lvlJc w:val="right"/>
      <w:pPr>
        <w:ind w:left="-163" w:hanging="420"/>
      </w:pPr>
    </w:lvl>
    <w:lvl w:ilvl="3" w:tentative="0">
      <w:start w:val="1"/>
      <w:numFmt w:val="decimal"/>
      <w:lvlText w:val="%4."/>
      <w:lvlJc w:val="left"/>
      <w:pPr>
        <w:ind w:left="257" w:hanging="420"/>
      </w:pPr>
    </w:lvl>
    <w:lvl w:ilvl="4" w:tentative="0">
      <w:start w:val="1"/>
      <w:numFmt w:val="lowerLetter"/>
      <w:lvlText w:val="%5)"/>
      <w:lvlJc w:val="left"/>
      <w:pPr>
        <w:ind w:left="677" w:hanging="420"/>
      </w:pPr>
    </w:lvl>
    <w:lvl w:ilvl="5" w:tentative="0">
      <w:start w:val="1"/>
      <w:numFmt w:val="lowerRoman"/>
      <w:lvlText w:val="%6."/>
      <w:lvlJc w:val="right"/>
      <w:pPr>
        <w:ind w:left="1097" w:hanging="420"/>
      </w:pPr>
    </w:lvl>
    <w:lvl w:ilvl="6" w:tentative="0">
      <w:start w:val="1"/>
      <w:numFmt w:val="decimal"/>
      <w:lvlText w:val="%7."/>
      <w:lvlJc w:val="left"/>
      <w:pPr>
        <w:ind w:left="1517" w:hanging="420"/>
      </w:pPr>
    </w:lvl>
    <w:lvl w:ilvl="7" w:tentative="0">
      <w:start w:val="1"/>
      <w:numFmt w:val="lowerLetter"/>
      <w:lvlText w:val="%8)"/>
      <w:lvlJc w:val="left"/>
      <w:pPr>
        <w:ind w:left="1937" w:hanging="420"/>
      </w:pPr>
    </w:lvl>
    <w:lvl w:ilvl="8" w:tentative="0">
      <w:start w:val="1"/>
      <w:numFmt w:val="lowerRoman"/>
      <w:lvlText w:val="%9."/>
      <w:lvlJc w:val="right"/>
      <w:pPr>
        <w:ind w:left="235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DED"/>
    <w:rsid w:val="0002721F"/>
    <w:rsid w:val="000324F4"/>
    <w:rsid w:val="00033A26"/>
    <w:rsid w:val="000612DF"/>
    <w:rsid w:val="000805D4"/>
    <w:rsid w:val="00080D23"/>
    <w:rsid w:val="000A24F7"/>
    <w:rsid w:val="000A55F6"/>
    <w:rsid w:val="000B215A"/>
    <w:rsid w:val="000D095C"/>
    <w:rsid w:val="00100643"/>
    <w:rsid w:val="0010146E"/>
    <w:rsid w:val="00102910"/>
    <w:rsid w:val="00105AD9"/>
    <w:rsid w:val="001276DB"/>
    <w:rsid w:val="00150901"/>
    <w:rsid w:val="001A00CB"/>
    <w:rsid w:val="001B79F9"/>
    <w:rsid w:val="001F49A0"/>
    <w:rsid w:val="00212837"/>
    <w:rsid w:val="00256F2D"/>
    <w:rsid w:val="00261973"/>
    <w:rsid w:val="00274FD1"/>
    <w:rsid w:val="00280855"/>
    <w:rsid w:val="00292F42"/>
    <w:rsid w:val="00294868"/>
    <w:rsid w:val="002A2596"/>
    <w:rsid w:val="002B7A3F"/>
    <w:rsid w:val="002B7C8C"/>
    <w:rsid w:val="002C70BA"/>
    <w:rsid w:val="002E51AE"/>
    <w:rsid w:val="00313B86"/>
    <w:rsid w:val="00324FFA"/>
    <w:rsid w:val="00325EBA"/>
    <w:rsid w:val="00335370"/>
    <w:rsid w:val="00377C32"/>
    <w:rsid w:val="00391DA1"/>
    <w:rsid w:val="003A79FB"/>
    <w:rsid w:val="003B472E"/>
    <w:rsid w:val="003B4CFD"/>
    <w:rsid w:val="003D64C3"/>
    <w:rsid w:val="003E2D11"/>
    <w:rsid w:val="003E5F56"/>
    <w:rsid w:val="00465F22"/>
    <w:rsid w:val="004A09A2"/>
    <w:rsid w:val="004B4903"/>
    <w:rsid w:val="004C5032"/>
    <w:rsid w:val="004D5D7B"/>
    <w:rsid w:val="005104FD"/>
    <w:rsid w:val="00511409"/>
    <w:rsid w:val="00544DB4"/>
    <w:rsid w:val="00545B11"/>
    <w:rsid w:val="00554491"/>
    <w:rsid w:val="00554E22"/>
    <w:rsid w:val="0056538F"/>
    <w:rsid w:val="00587E26"/>
    <w:rsid w:val="005933A9"/>
    <w:rsid w:val="005C5797"/>
    <w:rsid w:val="005C6C6C"/>
    <w:rsid w:val="005C7BC1"/>
    <w:rsid w:val="005D3BC2"/>
    <w:rsid w:val="005D4197"/>
    <w:rsid w:val="005D4B57"/>
    <w:rsid w:val="005D7EE3"/>
    <w:rsid w:val="005F2A06"/>
    <w:rsid w:val="006069EC"/>
    <w:rsid w:val="00622EB5"/>
    <w:rsid w:val="006274BC"/>
    <w:rsid w:val="006355E8"/>
    <w:rsid w:val="00641759"/>
    <w:rsid w:val="00644173"/>
    <w:rsid w:val="00650E46"/>
    <w:rsid w:val="00653257"/>
    <w:rsid w:val="0065397B"/>
    <w:rsid w:val="00675CFE"/>
    <w:rsid w:val="006B5F21"/>
    <w:rsid w:val="006C090B"/>
    <w:rsid w:val="006D67B8"/>
    <w:rsid w:val="007124BE"/>
    <w:rsid w:val="00725420"/>
    <w:rsid w:val="007265DA"/>
    <w:rsid w:val="00756412"/>
    <w:rsid w:val="007A05A4"/>
    <w:rsid w:val="007B3689"/>
    <w:rsid w:val="007E3BDF"/>
    <w:rsid w:val="007E74C9"/>
    <w:rsid w:val="007F477B"/>
    <w:rsid w:val="00836A46"/>
    <w:rsid w:val="0084047E"/>
    <w:rsid w:val="008477F7"/>
    <w:rsid w:val="008666DD"/>
    <w:rsid w:val="00872BBE"/>
    <w:rsid w:val="00881752"/>
    <w:rsid w:val="008843FE"/>
    <w:rsid w:val="008923E2"/>
    <w:rsid w:val="00896971"/>
    <w:rsid w:val="008A6426"/>
    <w:rsid w:val="008C273D"/>
    <w:rsid w:val="008C7AA4"/>
    <w:rsid w:val="008E1245"/>
    <w:rsid w:val="0090059B"/>
    <w:rsid w:val="0093586A"/>
    <w:rsid w:val="00947944"/>
    <w:rsid w:val="00952483"/>
    <w:rsid w:val="00952999"/>
    <w:rsid w:val="00980882"/>
    <w:rsid w:val="009C123D"/>
    <w:rsid w:val="009C3FDF"/>
    <w:rsid w:val="00A07848"/>
    <w:rsid w:val="00A113CC"/>
    <w:rsid w:val="00A3187B"/>
    <w:rsid w:val="00A32258"/>
    <w:rsid w:val="00A37C92"/>
    <w:rsid w:val="00A432D5"/>
    <w:rsid w:val="00A518E0"/>
    <w:rsid w:val="00A602E7"/>
    <w:rsid w:val="00A95469"/>
    <w:rsid w:val="00AA214F"/>
    <w:rsid w:val="00AE3C81"/>
    <w:rsid w:val="00AE4A02"/>
    <w:rsid w:val="00B03AFA"/>
    <w:rsid w:val="00B220AE"/>
    <w:rsid w:val="00B312B9"/>
    <w:rsid w:val="00B424E3"/>
    <w:rsid w:val="00B57983"/>
    <w:rsid w:val="00B62E67"/>
    <w:rsid w:val="00B81CE9"/>
    <w:rsid w:val="00B85D50"/>
    <w:rsid w:val="00BC7E22"/>
    <w:rsid w:val="00BE5DB9"/>
    <w:rsid w:val="00BF5F66"/>
    <w:rsid w:val="00C00A7E"/>
    <w:rsid w:val="00C118BE"/>
    <w:rsid w:val="00C31E9F"/>
    <w:rsid w:val="00C47D9C"/>
    <w:rsid w:val="00C6355F"/>
    <w:rsid w:val="00C7537C"/>
    <w:rsid w:val="00C965CA"/>
    <w:rsid w:val="00CA1E59"/>
    <w:rsid w:val="00CB1BF2"/>
    <w:rsid w:val="00CB2B30"/>
    <w:rsid w:val="00CC2559"/>
    <w:rsid w:val="00CC27E4"/>
    <w:rsid w:val="00D07620"/>
    <w:rsid w:val="00D120DD"/>
    <w:rsid w:val="00D223E1"/>
    <w:rsid w:val="00D34363"/>
    <w:rsid w:val="00D75DF4"/>
    <w:rsid w:val="00DB59BE"/>
    <w:rsid w:val="00DD4E45"/>
    <w:rsid w:val="00DE745F"/>
    <w:rsid w:val="00E25473"/>
    <w:rsid w:val="00E67DED"/>
    <w:rsid w:val="00E95517"/>
    <w:rsid w:val="00E971E1"/>
    <w:rsid w:val="00EF32FE"/>
    <w:rsid w:val="00EF55CE"/>
    <w:rsid w:val="00F10366"/>
    <w:rsid w:val="00F13AC3"/>
    <w:rsid w:val="00F14A5A"/>
    <w:rsid w:val="00F16585"/>
    <w:rsid w:val="00F3444F"/>
    <w:rsid w:val="00F44C5B"/>
    <w:rsid w:val="00F5615E"/>
    <w:rsid w:val="00F62FA6"/>
    <w:rsid w:val="00F9062B"/>
    <w:rsid w:val="00FA2334"/>
    <w:rsid w:val="00FC4B74"/>
    <w:rsid w:val="00FF0334"/>
    <w:rsid w:val="00FF393F"/>
    <w:rsid w:val="00FF6EEB"/>
    <w:rsid w:val="260078AE"/>
    <w:rsid w:val="347E3051"/>
    <w:rsid w:val="36321762"/>
    <w:rsid w:val="4A3951A3"/>
    <w:rsid w:val="6B0D2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Document Map"/>
    <w:basedOn w:val="1"/>
    <w:link w:val="25"/>
    <w:unhideWhenUsed/>
    <w:qFormat/>
    <w:uiPriority w:val="99"/>
    <w:rPr>
      <w:rFonts w:ascii="宋体"/>
      <w:sz w:val="18"/>
      <w:szCs w:val="18"/>
    </w:rPr>
  </w:style>
  <w:style w:type="paragraph" w:styleId="3">
    <w:name w:val="annotation text"/>
    <w:basedOn w:val="1"/>
    <w:link w:val="16"/>
    <w:qFormat/>
    <w:uiPriority w:val="99"/>
    <w:pPr>
      <w:jc w:val="left"/>
    </w:pPr>
    <w:rPr>
      <w:rFonts w:asciiTheme="minorHAnsi" w:hAnsiTheme="minorHAnsi" w:eastAsiaTheme="minorEastAsia" w:cstheme="minorBidi"/>
    </w:rPr>
  </w:style>
  <w:style w:type="paragraph" w:styleId="4">
    <w:name w:val="Body Text Indent"/>
    <w:basedOn w:val="1"/>
    <w:link w:val="17"/>
    <w:unhideWhenUsed/>
    <w:qFormat/>
    <w:uiPriority w:val="99"/>
    <w:pPr>
      <w:spacing w:after="120"/>
      <w:ind w:left="420" w:leftChars="200"/>
    </w:pPr>
  </w:style>
  <w:style w:type="paragraph" w:styleId="5">
    <w:name w:val="Balloon Text"/>
    <w:basedOn w:val="1"/>
    <w:link w:val="21"/>
    <w:unhideWhenUsed/>
    <w:qFormat/>
    <w:uiPriority w:val="99"/>
    <w:rPr>
      <w:sz w:val="18"/>
      <w:szCs w:val="18"/>
    </w:rPr>
  </w:style>
  <w:style w:type="paragraph" w:styleId="6">
    <w:name w:val="footer"/>
    <w:basedOn w:val="1"/>
    <w:link w:val="23"/>
    <w:unhideWhenUsed/>
    <w:qFormat/>
    <w:uiPriority w:val="99"/>
    <w:pPr>
      <w:tabs>
        <w:tab w:val="center" w:pos="4153"/>
        <w:tab w:val="right" w:pos="8306"/>
      </w:tabs>
      <w:snapToGrid w:val="0"/>
      <w:jc w:val="left"/>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3"/>
    <w:next w:val="3"/>
    <w:link w:val="24"/>
    <w:unhideWhenUsed/>
    <w:qFormat/>
    <w:uiPriority w:val="99"/>
    <w:rPr>
      <w:rFonts w:ascii="Times New Roman" w:hAnsi="Times New Roman" w:eastAsia="宋体" w:cs="Times New Roman"/>
      <w:b/>
      <w:bCs/>
    </w:rPr>
  </w:style>
  <w:style w:type="character" w:styleId="12">
    <w:name w:val="Strong"/>
    <w:basedOn w:val="11"/>
    <w:qFormat/>
    <w:uiPriority w:val="22"/>
    <w:rPr>
      <w:b/>
      <w:bCs/>
    </w:rPr>
  </w:style>
  <w:style w:type="character" w:styleId="13">
    <w:name w:val="annotation reference"/>
    <w:basedOn w:val="11"/>
    <w:qFormat/>
    <w:uiPriority w:val="0"/>
    <w:rPr>
      <w:sz w:val="21"/>
      <w:szCs w:val="21"/>
    </w:rPr>
  </w:style>
  <w:style w:type="character" w:customStyle="1" w:styleId="14">
    <w:name w:val="批注文字 Char"/>
    <w:basedOn w:val="11"/>
    <w:link w:val="3"/>
    <w:qFormat/>
    <w:uiPriority w:val="99"/>
    <w:rPr>
      <w:szCs w:val="24"/>
    </w:rPr>
  </w:style>
  <w:style w:type="character" w:customStyle="1" w:styleId="15">
    <w:name w:val="apple-style-span"/>
    <w:qFormat/>
    <w:uiPriority w:val="0"/>
    <w:rPr>
      <w:rFonts w:cs="Times New Roman"/>
    </w:rPr>
  </w:style>
  <w:style w:type="character" w:customStyle="1" w:styleId="16">
    <w:name w:val="批注文字 Char1"/>
    <w:basedOn w:val="11"/>
    <w:link w:val="3"/>
    <w:semiHidden/>
    <w:qFormat/>
    <w:uiPriority w:val="99"/>
    <w:rPr>
      <w:rFonts w:ascii="Times New Roman" w:hAnsi="Times New Roman" w:eastAsia="宋体" w:cs="Times New Roman"/>
      <w:szCs w:val="24"/>
    </w:rPr>
  </w:style>
  <w:style w:type="character" w:customStyle="1" w:styleId="17">
    <w:name w:val="正文文本缩进 Char"/>
    <w:basedOn w:val="11"/>
    <w:link w:val="4"/>
    <w:qFormat/>
    <w:uiPriority w:val="99"/>
    <w:rPr>
      <w:rFonts w:ascii="Times New Roman" w:hAnsi="Times New Roman" w:eastAsia="宋体" w:cs="Times New Roman"/>
      <w:szCs w:val="24"/>
    </w:rPr>
  </w:style>
  <w:style w:type="paragraph" w:customStyle="1" w:styleId="18">
    <w:name w:val="条款标题"/>
    <w:basedOn w:val="19"/>
    <w:qFormat/>
    <w:uiPriority w:val="0"/>
    <w:pPr>
      <w:tabs>
        <w:tab w:val="left" w:pos="840"/>
      </w:tabs>
      <w:ind w:left="0" w:leftChars="0" w:firstLine="0" w:firstLineChars="0"/>
    </w:pPr>
    <w:rPr>
      <w:b/>
      <w:szCs w:val="24"/>
    </w:rPr>
  </w:style>
  <w:style w:type="paragraph" w:customStyle="1" w:styleId="19">
    <w:name w:val="条款正文"/>
    <w:basedOn w:val="1"/>
    <w:qFormat/>
    <w:uiPriority w:val="0"/>
    <w:pPr>
      <w:adjustRightInd w:val="0"/>
      <w:snapToGrid w:val="0"/>
      <w:ind w:left="840" w:leftChars="400" w:firstLine="420" w:firstLineChars="200"/>
    </w:pPr>
    <w:rPr>
      <w:szCs w:val="20"/>
    </w:rPr>
  </w:style>
  <w:style w:type="paragraph" w:customStyle="1" w:styleId="20">
    <w:name w:val="样式1"/>
    <w:basedOn w:val="1"/>
    <w:qFormat/>
    <w:uiPriority w:val="99"/>
    <w:pPr>
      <w:numPr>
        <w:ilvl w:val="0"/>
        <w:numId w:val="1"/>
      </w:numPr>
    </w:pPr>
    <w:rPr>
      <w:rFonts w:ascii="Calibri" w:hAnsi="Calibri" w:cs="Calibri"/>
      <w:szCs w:val="21"/>
    </w:rPr>
  </w:style>
  <w:style w:type="character" w:customStyle="1" w:styleId="21">
    <w:name w:val="批注框文本 Char"/>
    <w:basedOn w:val="11"/>
    <w:link w:val="5"/>
    <w:semiHidden/>
    <w:qFormat/>
    <w:uiPriority w:val="99"/>
    <w:rPr>
      <w:rFonts w:ascii="Times New Roman" w:hAnsi="Times New Roman" w:eastAsia="宋体" w:cs="Times New Roman"/>
      <w:sz w:val="18"/>
      <w:szCs w:val="18"/>
    </w:rPr>
  </w:style>
  <w:style w:type="character" w:customStyle="1" w:styleId="22">
    <w:name w:val="页眉 Char"/>
    <w:basedOn w:val="11"/>
    <w:link w:val="7"/>
    <w:semiHidden/>
    <w:qFormat/>
    <w:uiPriority w:val="99"/>
    <w:rPr>
      <w:rFonts w:ascii="Times New Roman" w:hAnsi="Times New Roman" w:eastAsia="宋体" w:cs="Times New Roman"/>
      <w:sz w:val="18"/>
      <w:szCs w:val="18"/>
    </w:rPr>
  </w:style>
  <w:style w:type="character" w:customStyle="1" w:styleId="23">
    <w:name w:val="页脚 Char"/>
    <w:basedOn w:val="11"/>
    <w:link w:val="6"/>
    <w:semiHidden/>
    <w:qFormat/>
    <w:uiPriority w:val="99"/>
    <w:rPr>
      <w:rFonts w:ascii="Times New Roman" w:hAnsi="Times New Roman" w:eastAsia="宋体" w:cs="Times New Roman"/>
      <w:sz w:val="18"/>
      <w:szCs w:val="18"/>
    </w:rPr>
  </w:style>
  <w:style w:type="character" w:customStyle="1" w:styleId="24">
    <w:name w:val="批注主题 Char"/>
    <w:basedOn w:val="14"/>
    <w:link w:val="9"/>
    <w:semiHidden/>
    <w:qFormat/>
    <w:uiPriority w:val="99"/>
    <w:rPr>
      <w:rFonts w:ascii="Times New Roman" w:hAnsi="Times New Roman" w:eastAsia="宋体" w:cs="Times New Roman"/>
      <w:b/>
      <w:bCs/>
    </w:rPr>
  </w:style>
  <w:style w:type="character" w:customStyle="1" w:styleId="25">
    <w:name w:val="文档结构图 Char"/>
    <w:basedOn w:val="11"/>
    <w:link w:val="2"/>
    <w:semiHidden/>
    <w:qFormat/>
    <w:uiPriority w:val="99"/>
    <w:rPr>
      <w:rFonts w:ascii="宋体" w:hAnsi="Times New Roman" w:eastAsia="宋体" w:cs="Times New Roman"/>
      <w:sz w:val="18"/>
      <w:szCs w:val="18"/>
    </w:rPr>
  </w:style>
  <w:style w:type="paragraph" w:customStyle="1"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7AD693-0A52-4999-A938-430D110FFD7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1005</Words>
  <Characters>5733</Characters>
  <Lines>47</Lines>
  <Paragraphs>13</Paragraphs>
  <TotalTime>0</TotalTime>
  <ScaleCrop>false</ScaleCrop>
  <LinksUpToDate>false</LinksUpToDate>
  <CharactersWithSpaces>6725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2018-03-12T02:49:00Z</dcterms:created>
  <dc:creator>wangjy102</dc:creator>
  <cp:lastModifiedBy>白马非马</cp:lastModifiedBy>
  <dcterms:modified xsi:type="dcterms:W3CDTF">2020-08-24T02:21:31Z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